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7F394" w14:textId="47EAD890" w:rsidR="00D73BE8" w:rsidRPr="000E7169" w:rsidRDefault="00D73BE8" w:rsidP="000E7169">
      <w:pPr>
        <w:rPr>
          <w:b/>
        </w:rPr>
      </w:pPr>
      <w:bookmarkStart w:id="0" w:name="_Hlk102131436"/>
      <w:r w:rsidRPr="000E7169">
        <w:rPr>
          <w:rFonts w:ascii="Arial" w:hAnsi="Arial" w:cs="Arial"/>
          <w:b/>
          <w:bCs/>
          <w:lang w:val="en-US" w:eastAsia="en-AU"/>
        </w:rPr>
        <w:t xml:space="preserve">Attachment </w:t>
      </w:r>
      <w:r w:rsidR="002F3DA1" w:rsidRPr="000E7169">
        <w:rPr>
          <w:rFonts w:ascii="Arial" w:hAnsi="Arial" w:cs="Arial"/>
          <w:b/>
          <w:bCs/>
          <w:lang w:val="en-US" w:eastAsia="en-AU"/>
        </w:rPr>
        <w:t>B</w:t>
      </w:r>
      <w:r w:rsidR="00B47BF5" w:rsidRPr="000E7169">
        <w:rPr>
          <w:rFonts w:ascii="Arial" w:hAnsi="Arial" w:cs="Arial"/>
          <w:b/>
          <w:bCs/>
          <w:lang w:val="en-US" w:eastAsia="en-AU"/>
        </w:rPr>
        <w:t xml:space="preserve"> – </w:t>
      </w:r>
      <w:r w:rsidR="000E7169" w:rsidRPr="000E7169">
        <w:rPr>
          <w:rFonts w:ascii="Arial" w:hAnsi="Arial" w:cs="Arial"/>
          <w:b/>
          <w:bCs/>
          <w:lang w:val="en-US" w:eastAsia="en-AU"/>
        </w:rPr>
        <w:t>Apartment Design Guide</w:t>
      </w:r>
      <w:r w:rsidR="000E7169" w:rsidRPr="000E7169">
        <w:rPr>
          <w:rFonts w:ascii="Arial" w:hAnsi="Arial" w:cs="Arial"/>
          <w:b/>
          <w:bCs/>
          <w:lang w:val="en-US" w:eastAsia="en-AU"/>
        </w:rPr>
        <w:t xml:space="preserve"> </w:t>
      </w:r>
      <w:r w:rsidR="00B47BF5" w:rsidRPr="000E7169">
        <w:rPr>
          <w:rFonts w:ascii="Arial" w:hAnsi="Arial" w:cs="Arial"/>
          <w:b/>
          <w:bCs/>
          <w:lang w:val="en-US" w:eastAsia="en-AU"/>
        </w:rPr>
        <w:t>compliance table</w:t>
      </w:r>
    </w:p>
    <w:tbl>
      <w:tblPr>
        <w:tblStyle w:val="LightList"/>
        <w:tblW w:w="13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8505"/>
        <w:gridCol w:w="1587"/>
      </w:tblGrid>
      <w:tr w:rsidR="00F5141C" w:rsidRPr="0099029A" w14:paraId="038DBB95" w14:textId="77777777" w:rsidTr="000E716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39" w:type="dxa"/>
            <w:shd w:val="clear" w:color="auto" w:fill="BFBFBF" w:themeFill="background1" w:themeFillShade="BF"/>
          </w:tcPr>
          <w:bookmarkEnd w:id="0"/>
          <w:p w14:paraId="35BB6939" w14:textId="77777777" w:rsidR="00F5141C" w:rsidRPr="002A58E2" w:rsidRDefault="00F5141C" w:rsidP="000E7169">
            <w:pPr>
              <w:pStyle w:val="FigureCaption"/>
              <w:spacing w:before="0" w:after="160"/>
              <w:ind w:left="0"/>
              <w:rPr>
                <w:rFonts w:ascii="Arial" w:hAnsi="Arial" w:cs="Arial"/>
                <w:b/>
                <w:bCs w:val="0"/>
                <w:color w:val="auto"/>
                <w:sz w:val="22"/>
                <w:szCs w:val="22"/>
              </w:rPr>
            </w:pPr>
            <w:r w:rsidRPr="002A58E2">
              <w:rPr>
                <w:rFonts w:ascii="Arial" w:hAnsi="Arial" w:cs="Arial"/>
                <w:b/>
                <w:bCs w:val="0"/>
                <w:color w:val="auto"/>
                <w:sz w:val="22"/>
                <w:szCs w:val="22"/>
              </w:rPr>
              <w:t>Control</w:t>
            </w:r>
          </w:p>
        </w:tc>
        <w:tc>
          <w:tcPr>
            <w:tcW w:w="8505" w:type="dxa"/>
            <w:shd w:val="clear" w:color="auto" w:fill="BFBFBF" w:themeFill="background1" w:themeFillShade="BF"/>
          </w:tcPr>
          <w:p w14:paraId="71C089B1" w14:textId="77777777" w:rsidR="00F5141C" w:rsidRPr="002A58E2" w:rsidRDefault="00F5141C" w:rsidP="000E7169">
            <w:pPr>
              <w:pStyle w:val="FigureCaption"/>
              <w:spacing w:before="0" w:after="160"/>
              <w:ind w:left="0"/>
              <w:cnfStyle w:val="100000000000" w:firstRow="1" w:lastRow="0" w:firstColumn="0" w:lastColumn="0" w:oddVBand="0" w:evenVBand="0" w:oddHBand="0" w:evenHBand="0" w:firstRowFirstColumn="0" w:firstRowLastColumn="0" w:lastRowFirstColumn="0" w:lastRowLastColumn="0"/>
              <w:rPr>
                <w:rFonts w:ascii="Arial" w:hAnsi="Arial" w:cs="Arial"/>
                <w:b/>
                <w:bCs w:val="0"/>
                <w:color w:val="auto"/>
                <w:sz w:val="22"/>
                <w:szCs w:val="22"/>
              </w:rPr>
            </w:pPr>
            <w:r w:rsidRPr="002A58E2">
              <w:rPr>
                <w:rFonts w:ascii="Arial" w:hAnsi="Arial" w:cs="Arial"/>
                <w:b/>
                <w:bCs w:val="0"/>
                <w:color w:val="auto"/>
                <w:sz w:val="22"/>
                <w:szCs w:val="22"/>
              </w:rPr>
              <w:t>Discussion</w:t>
            </w:r>
          </w:p>
        </w:tc>
        <w:tc>
          <w:tcPr>
            <w:tcW w:w="1587" w:type="dxa"/>
            <w:shd w:val="clear" w:color="auto" w:fill="BFBFBF" w:themeFill="background1" w:themeFillShade="BF"/>
          </w:tcPr>
          <w:p w14:paraId="026F5147" w14:textId="77777777" w:rsidR="00F5141C" w:rsidRPr="002A58E2" w:rsidRDefault="00F5141C" w:rsidP="000E7169">
            <w:pPr>
              <w:pStyle w:val="FigureCaption"/>
              <w:spacing w:before="0" w:after="160"/>
              <w:ind w:left="0"/>
              <w:cnfStyle w:val="100000000000" w:firstRow="1" w:lastRow="0" w:firstColumn="0" w:lastColumn="0" w:oddVBand="0" w:evenVBand="0" w:oddHBand="0" w:evenHBand="0" w:firstRowFirstColumn="0" w:firstRowLastColumn="0" w:lastRowFirstColumn="0" w:lastRowLastColumn="0"/>
              <w:rPr>
                <w:rFonts w:ascii="Arial" w:hAnsi="Arial" w:cs="Arial"/>
                <w:b/>
                <w:bCs w:val="0"/>
                <w:color w:val="auto"/>
                <w:sz w:val="22"/>
                <w:szCs w:val="22"/>
              </w:rPr>
            </w:pPr>
            <w:r w:rsidRPr="002A58E2">
              <w:rPr>
                <w:rFonts w:ascii="Arial" w:hAnsi="Arial" w:cs="Arial"/>
                <w:b/>
                <w:bCs w:val="0"/>
                <w:color w:val="auto"/>
                <w:sz w:val="22"/>
                <w:szCs w:val="22"/>
              </w:rPr>
              <w:t>Comply</w:t>
            </w:r>
          </w:p>
        </w:tc>
      </w:tr>
      <w:tr w:rsidR="002F3DA1" w:rsidRPr="0099029A" w14:paraId="63F49236"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F61EBBD" w14:textId="77777777" w:rsidR="002F3DA1" w:rsidRPr="002A6138" w:rsidRDefault="002F3DA1"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3B Orientation</w:t>
            </w:r>
          </w:p>
        </w:tc>
        <w:tc>
          <w:tcPr>
            <w:tcW w:w="8505" w:type="dxa"/>
          </w:tcPr>
          <w:p w14:paraId="1A9DB3BB" w14:textId="77777777" w:rsidR="002F3DA1" w:rsidRPr="0057293D" w:rsidRDefault="00BF0475"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development demonstrates minimal impact to solar access on adjacent lots.</w:t>
            </w:r>
          </w:p>
        </w:tc>
        <w:tc>
          <w:tcPr>
            <w:tcW w:w="1587" w:type="dxa"/>
          </w:tcPr>
          <w:p w14:paraId="2F04BDDD" w14:textId="77777777" w:rsidR="002F3DA1" w:rsidRPr="0057293D" w:rsidRDefault="00BF0475"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34D84F65"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89A1409" w14:textId="77777777" w:rsidR="002F3DA1" w:rsidRPr="002A6138" w:rsidRDefault="002F3DA1"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3C Public domain interface</w:t>
            </w:r>
          </w:p>
        </w:tc>
        <w:tc>
          <w:tcPr>
            <w:tcW w:w="8505" w:type="dxa"/>
          </w:tcPr>
          <w:p w14:paraId="632A23FD" w14:textId="77777777" w:rsidR="00B25BAF" w:rsidRDefault="00B25BAF"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development achieves appropriate public domain interface outcomes:</w:t>
            </w:r>
          </w:p>
          <w:p w14:paraId="5F832FCE" w14:textId="1386FF6F" w:rsidR="00B25BAF"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g</w:t>
            </w:r>
            <w:r w:rsidR="005A0F69">
              <w:rPr>
                <w:rFonts w:ascii="Arial" w:hAnsi="Arial" w:cs="Arial"/>
                <w:b w:val="0"/>
                <w:color w:val="auto"/>
                <w:sz w:val="22"/>
                <w:szCs w:val="22"/>
              </w:rPr>
              <w:t>round floor terraces have direct (secondary) access from the external common areas</w:t>
            </w:r>
          </w:p>
          <w:p w14:paraId="62F6E9C1" w14:textId="110214AD" w:rsidR="00B25BAF"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p</w:t>
            </w:r>
            <w:r w:rsidR="005A0F69">
              <w:rPr>
                <w:rFonts w:ascii="Arial" w:hAnsi="Arial" w:cs="Arial"/>
                <w:b w:val="0"/>
                <w:color w:val="auto"/>
                <w:sz w:val="22"/>
                <w:szCs w:val="22"/>
              </w:rPr>
              <w:t>erimeter fencing is visually permeable</w:t>
            </w:r>
          </w:p>
          <w:p w14:paraId="054C587A" w14:textId="06E8BC4E" w:rsidR="00B25BAF"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b</w:t>
            </w:r>
            <w:r w:rsidR="005A0F69">
              <w:rPr>
                <w:rFonts w:ascii="Arial" w:hAnsi="Arial" w:cs="Arial"/>
                <w:b w:val="0"/>
                <w:color w:val="auto"/>
                <w:sz w:val="22"/>
                <w:szCs w:val="22"/>
              </w:rPr>
              <w:t>alconies and terraces overlook the public domain</w:t>
            </w:r>
          </w:p>
          <w:p w14:paraId="4F84ECC0" w14:textId="5A589F12" w:rsidR="002F3DA1"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c</w:t>
            </w:r>
            <w:r w:rsidR="005A0F69">
              <w:rPr>
                <w:rFonts w:ascii="Arial" w:hAnsi="Arial" w:cs="Arial"/>
                <w:b w:val="0"/>
                <w:color w:val="auto"/>
                <w:sz w:val="22"/>
                <w:szCs w:val="22"/>
              </w:rPr>
              <w:t>ausal interaction between residents and the public domain can occur from the circulation path and seating</w:t>
            </w:r>
          </w:p>
          <w:p w14:paraId="3A22271B" w14:textId="112DDFF2" w:rsidR="00B25BAF"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p</w:t>
            </w:r>
            <w:r w:rsidR="00BB2D9A">
              <w:rPr>
                <w:rFonts w:ascii="Arial" w:hAnsi="Arial" w:cs="Arial"/>
                <w:b w:val="0"/>
                <w:color w:val="auto"/>
                <w:sz w:val="22"/>
                <w:szCs w:val="22"/>
              </w:rPr>
              <w:t>lanting to the perimeter softens the development</w:t>
            </w:r>
          </w:p>
          <w:p w14:paraId="6416C22D" w14:textId="1340AF72" w:rsidR="00B25BAF"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m</w:t>
            </w:r>
            <w:r w:rsidR="00BB2D9A">
              <w:rPr>
                <w:rFonts w:ascii="Arial" w:hAnsi="Arial" w:cs="Arial"/>
                <w:b w:val="0"/>
                <w:color w:val="auto"/>
                <w:sz w:val="22"/>
                <w:szCs w:val="22"/>
              </w:rPr>
              <w:t>ailboxes and bin storage are aligned to minimise impact to the street</w:t>
            </w:r>
          </w:p>
          <w:p w14:paraId="09FF5EC3" w14:textId="5472E00C" w:rsidR="00BB2D9A" w:rsidRPr="0057293D" w:rsidRDefault="00B25BAF" w:rsidP="00B25BAF">
            <w:pPr>
              <w:pStyle w:val="FigureCaption"/>
              <w:numPr>
                <w:ilvl w:val="0"/>
                <w:numId w:val="35"/>
              </w:numPr>
              <w:spacing w:before="0" w:after="16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w:t>
            </w:r>
            <w:r w:rsidR="00BB2D9A">
              <w:rPr>
                <w:rFonts w:ascii="Arial" w:hAnsi="Arial" w:cs="Arial"/>
                <w:b w:val="0"/>
                <w:color w:val="auto"/>
                <w:sz w:val="22"/>
                <w:szCs w:val="22"/>
              </w:rPr>
              <w:t xml:space="preserve">he underground garage entry is set well back from the street. </w:t>
            </w:r>
          </w:p>
        </w:tc>
        <w:tc>
          <w:tcPr>
            <w:tcW w:w="1587" w:type="dxa"/>
          </w:tcPr>
          <w:p w14:paraId="24E308E0" w14:textId="2849E046" w:rsidR="002F3DA1" w:rsidRPr="0057293D" w:rsidRDefault="005A0F69"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26C077C9"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696A9D3F" w14:textId="77777777" w:rsidR="002F3DA1" w:rsidRPr="002A6138" w:rsidRDefault="002F3DA1"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3D Communal and public open space</w:t>
            </w:r>
          </w:p>
        </w:tc>
        <w:tc>
          <w:tcPr>
            <w:tcW w:w="8505" w:type="dxa"/>
          </w:tcPr>
          <w:p w14:paraId="0B4705C3" w14:textId="77777777" w:rsidR="003A648E" w:rsidRDefault="00BB2D9A"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Communal open space comprises approximately 33%</w:t>
            </w:r>
            <w:r w:rsidR="003A648E">
              <w:rPr>
                <w:rFonts w:ascii="Arial" w:hAnsi="Arial" w:cs="Arial"/>
                <w:b w:val="0"/>
                <w:color w:val="auto"/>
                <w:sz w:val="22"/>
                <w:szCs w:val="22"/>
              </w:rPr>
              <w:t xml:space="preserve"> </w:t>
            </w:r>
            <w:r>
              <w:rPr>
                <w:rFonts w:ascii="Arial" w:hAnsi="Arial" w:cs="Arial"/>
                <w:b w:val="0"/>
                <w:color w:val="auto"/>
                <w:sz w:val="22"/>
                <w:szCs w:val="22"/>
              </w:rPr>
              <w:t xml:space="preserve">of the site area. </w:t>
            </w:r>
          </w:p>
          <w:p w14:paraId="355CCEC8" w14:textId="77777777" w:rsidR="003A648E" w:rsidRDefault="00BB2D9A"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Direct sunlight is achieved for more than 50% of the area for at least </w:t>
            </w:r>
            <w:r w:rsidR="003A648E">
              <w:rPr>
                <w:rFonts w:ascii="Arial" w:hAnsi="Arial" w:cs="Arial"/>
                <w:b w:val="0"/>
                <w:color w:val="auto"/>
                <w:sz w:val="22"/>
                <w:szCs w:val="22"/>
              </w:rPr>
              <w:t>two</w:t>
            </w:r>
            <w:r>
              <w:rPr>
                <w:rFonts w:ascii="Arial" w:hAnsi="Arial" w:cs="Arial"/>
                <w:b w:val="0"/>
                <w:color w:val="auto"/>
                <w:sz w:val="22"/>
                <w:szCs w:val="22"/>
              </w:rPr>
              <w:t xml:space="preserve"> hours. </w:t>
            </w:r>
          </w:p>
          <w:p w14:paraId="6FEACC06" w14:textId="77777777" w:rsidR="003A648E" w:rsidRDefault="00BB2D9A"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Communal open space includes a variety of </w:t>
            </w:r>
            <w:r w:rsidR="00245175">
              <w:rPr>
                <w:rFonts w:ascii="Arial" w:hAnsi="Arial" w:cs="Arial"/>
                <w:b w:val="0"/>
                <w:color w:val="auto"/>
                <w:sz w:val="22"/>
                <w:szCs w:val="22"/>
              </w:rPr>
              <w:t>activities</w:t>
            </w:r>
            <w:r>
              <w:rPr>
                <w:rFonts w:ascii="Arial" w:hAnsi="Arial" w:cs="Arial"/>
                <w:b w:val="0"/>
                <w:color w:val="auto"/>
                <w:sz w:val="22"/>
                <w:szCs w:val="22"/>
              </w:rPr>
              <w:t xml:space="preserve">, including seating, landscape, and swimming pool. </w:t>
            </w:r>
          </w:p>
          <w:p w14:paraId="3A1F65A2" w14:textId="4475A293" w:rsidR="002F3DA1" w:rsidRPr="0057293D" w:rsidRDefault="00245175"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space is well overlooked by balconies.</w:t>
            </w:r>
          </w:p>
        </w:tc>
        <w:tc>
          <w:tcPr>
            <w:tcW w:w="1587" w:type="dxa"/>
          </w:tcPr>
          <w:p w14:paraId="618AD955" w14:textId="56390573" w:rsidR="002F3DA1" w:rsidRPr="0057293D" w:rsidRDefault="00BB2D9A"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6CEABA53"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0C00EB2" w14:textId="77777777" w:rsidR="002F3DA1" w:rsidRPr="002A6138" w:rsidRDefault="002F3DA1"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 xml:space="preserve">3E </w:t>
            </w:r>
            <w:r w:rsidR="00B47BF5" w:rsidRPr="002A6138">
              <w:rPr>
                <w:rFonts w:ascii="Arial" w:hAnsi="Arial" w:cs="Arial"/>
                <w:color w:val="auto"/>
                <w:sz w:val="22"/>
                <w:szCs w:val="22"/>
              </w:rPr>
              <w:t>Deep soil zones</w:t>
            </w:r>
          </w:p>
        </w:tc>
        <w:tc>
          <w:tcPr>
            <w:tcW w:w="8505" w:type="dxa"/>
          </w:tcPr>
          <w:p w14:paraId="230090BE" w14:textId="168F9DC2" w:rsidR="002F3DA1" w:rsidRPr="0057293D" w:rsidRDefault="00245175"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More than 1300m</w:t>
            </w:r>
            <w:r w:rsidRPr="00245175">
              <w:rPr>
                <w:rFonts w:ascii="Arial" w:hAnsi="Arial" w:cs="Arial"/>
                <w:b w:val="0"/>
                <w:color w:val="auto"/>
                <w:sz w:val="22"/>
                <w:szCs w:val="22"/>
                <w:vertAlign w:val="superscript"/>
              </w:rPr>
              <w:t>2</w:t>
            </w:r>
            <w:r>
              <w:rPr>
                <w:rFonts w:ascii="Arial" w:hAnsi="Arial" w:cs="Arial"/>
                <w:b w:val="0"/>
                <w:color w:val="auto"/>
                <w:sz w:val="22"/>
                <w:szCs w:val="22"/>
              </w:rPr>
              <w:t xml:space="preserve"> (13%) deep soil zone is provided </w:t>
            </w:r>
            <w:r w:rsidR="003A648E">
              <w:rPr>
                <w:rFonts w:ascii="Arial" w:hAnsi="Arial" w:cs="Arial"/>
                <w:b w:val="0"/>
                <w:color w:val="auto"/>
                <w:sz w:val="22"/>
                <w:szCs w:val="22"/>
              </w:rPr>
              <w:t xml:space="preserve">including </w:t>
            </w:r>
            <w:r>
              <w:rPr>
                <w:rFonts w:ascii="Arial" w:hAnsi="Arial" w:cs="Arial"/>
                <w:b w:val="0"/>
                <w:color w:val="auto"/>
                <w:sz w:val="22"/>
                <w:szCs w:val="22"/>
              </w:rPr>
              <w:t>a range of tree sizes.</w:t>
            </w:r>
            <w:r w:rsidR="003A648E">
              <w:rPr>
                <w:rFonts w:ascii="Arial" w:hAnsi="Arial" w:cs="Arial"/>
                <w:b w:val="0"/>
                <w:color w:val="auto"/>
                <w:sz w:val="22"/>
                <w:szCs w:val="22"/>
              </w:rPr>
              <w:t xml:space="preserve"> </w:t>
            </w:r>
            <w:r>
              <w:rPr>
                <w:rFonts w:ascii="Arial" w:hAnsi="Arial" w:cs="Arial"/>
                <w:b w:val="0"/>
                <w:color w:val="auto"/>
                <w:sz w:val="22"/>
                <w:szCs w:val="22"/>
              </w:rPr>
              <w:t>Existing mature trees are retained where possible.</w:t>
            </w:r>
          </w:p>
        </w:tc>
        <w:tc>
          <w:tcPr>
            <w:tcW w:w="1587" w:type="dxa"/>
          </w:tcPr>
          <w:p w14:paraId="67BD86D6" w14:textId="604BFC19" w:rsidR="002F3DA1" w:rsidRPr="0057293D" w:rsidRDefault="00245175"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239CB27C"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03FAE24A" w14:textId="77777777" w:rsidR="002F3DA1"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lastRenderedPageBreak/>
              <w:t>3F Visual privacy</w:t>
            </w:r>
          </w:p>
        </w:tc>
        <w:tc>
          <w:tcPr>
            <w:tcW w:w="8505" w:type="dxa"/>
          </w:tcPr>
          <w:p w14:paraId="480189DA" w14:textId="09697DC7" w:rsidR="002F3DA1" w:rsidRDefault="00245175"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The design achieves </w:t>
            </w:r>
            <w:r w:rsidR="003A648E">
              <w:rPr>
                <w:rFonts w:ascii="Arial" w:hAnsi="Arial" w:cs="Arial"/>
                <w:b w:val="0"/>
                <w:color w:val="auto"/>
                <w:sz w:val="22"/>
                <w:szCs w:val="22"/>
              </w:rPr>
              <w:t xml:space="preserve">a </w:t>
            </w:r>
            <w:r>
              <w:rPr>
                <w:rFonts w:ascii="Arial" w:hAnsi="Arial" w:cs="Arial"/>
                <w:b w:val="0"/>
                <w:color w:val="auto"/>
                <w:sz w:val="22"/>
                <w:szCs w:val="22"/>
              </w:rPr>
              <w:t>6m setback from Maude Street, 49m from Glover Street, 7.5-11m from the sporting fields, and 11m from 2B Maude Street (which has a 3m setback itself).</w:t>
            </w:r>
            <w:r w:rsidR="003A648E">
              <w:rPr>
                <w:rFonts w:ascii="Arial" w:hAnsi="Arial" w:cs="Arial"/>
                <w:b w:val="0"/>
                <w:color w:val="auto"/>
                <w:sz w:val="22"/>
                <w:szCs w:val="22"/>
              </w:rPr>
              <w:t xml:space="preserve"> This ensures appropriate separation to achieve visual privacy.</w:t>
            </w:r>
          </w:p>
          <w:p w14:paraId="4AC7E628" w14:textId="399A6B75" w:rsidR="005775FA" w:rsidRPr="0057293D" w:rsidRDefault="005775FA"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Landscap</w:t>
            </w:r>
            <w:r w:rsidR="00065605">
              <w:rPr>
                <w:rFonts w:ascii="Arial" w:hAnsi="Arial" w:cs="Arial"/>
                <w:b w:val="0"/>
                <w:color w:val="auto"/>
                <w:sz w:val="22"/>
                <w:szCs w:val="22"/>
              </w:rPr>
              <w:t>e buffers are utilised between private open space and communal open space</w:t>
            </w:r>
            <w:r w:rsidR="003A648E">
              <w:rPr>
                <w:rFonts w:ascii="Arial" w:hAnsi="Arial" w:cs="Arial"/>
                <w:b w:val="0"/>
                <w:color w:val="auto"/>
                <w:sz w:val="22"/>
                <w:szCs w:val="22"/>
              </w:rPr>
              <w:t xml:space="preserve"> to further enhance visual privacy.</w:t>
            </w:r>
          </w:p>
        </w:tc>
        <w:tc>
          <w:tcPr>
            <w:tcW w:w="1587" w:type="dxa"/>
          </w:tcPr>
          <w:p w14:paraId="71D56BFD" w14:textId="3C7787A3" w:rsidR="002F3DA1" w:rsidRPr="0057293D" w:rsidRDefault="002D40BC"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63ED6923"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D781656" w14:textId="77777777" w:rsidR="002F3DA1"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3G pedestrian access and entries</w:t>
            </w:r>
          </w:p>
        </w:tc>
        <w:tc>
          <w:tcPr>
            <w:tcW w:w="8505" w:type="dxa"/>
          </w:tcPr>
          <w:p w14:paraId="12FDD289" w14:textId="7322797A" w:rsidR="002F3DA1" w:rsidRPr="0057293D" w:rsidRDefault="00B049E4"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Pedestrian access is provide</w:t>
            </w:r>
            <w:r w:rsidR="00702401">
              <w:rPr>
                <w:rFonts w:ascii="Arial" w:hAnsi="Arial" w:cs="Arial"/>
                <w:b w:val="0"/>
                <w:color w:val="auto"/>
                <w:sz w:val="22"/>
                <w:szCs w:val="22"/>
              </w:rPr>
              <w:t>d</w:t>
            </w:r>
            <w:r>
              <w:rPr>
                <w:rFonts w:ascii="Arial" w:hAnsi="Arial" w:cs="Arial"/>
                <w:b w:val="0"/>
                <w:color w:val="auto"/>
                <w:sz w:val="22"/>
                <w:szCs w:val="22"/>
              </w:rPr>
              <w:t xml:space="preserve"> to each street frontage. </w:t>
            </w:r>
            <w:r w:rsidR="00E865BF">
              <w:rPr>
                <w:rFonts w:ascii="Arial" w:hAnsi="Arial" w:cs="Arial"/>
                <w:b w:val="0"/>
                <w:color w:val="auto"/>
                <w:sz w:val="22"/>
                <w:szCs w:val="22"/>
              </w:rPr>
              <w:t>Appropriate site access controls are included. The primary entrance is clearly delineated. Access through the carpark to the core is logical. Entries include an accessible path of travel. Pedestrian circulation and building accesses are well overlooked by residences.</w:t>
            </w:r>
          </w:p>
        </w:tc>
        <w:tc>
          <w:tcPr>
            <w:tcW w:w="1587" w:type="dxa"/>
          </w:tcPr>
          <w:p w14:paraId="2E829DD3" w14:textId="68D2BB8F" w:rsidR="002F3DA1" w:rsidRPr="0057293D" w:rsidRDefault="00E865BF"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18E34DA5"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5E75A7A" w14:textId="77777777" w:rsidR="002F3DA1"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3H Vehicle access</w:t>
            </w:r>
          </w:p>
        </w:tc>
        <w:tc>
          <w:tcPr>
            <w:tcW w:w="8505" w:type="dxa"/>
          </w:tcPr>
          <w:p w14:paraId="4CB3964F" w14:textId="77777777" w:rsidR="006518FF" w:rsidRDefault="00E865BF"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Car park access is set back from the street and integrated into the design of the building. Separate visitor parking, drop off and turnaround space is provided. </w:t>
            </w:r>
          </w:p>
          <w:p w14:paraId="742C5AA6" w14:textId="77777777" w:rsidR="006518FF" w:rsidRDefault="006518FF"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Sightlines</w:t>
            </w:r>
            <w:r w:rsidR="00E865BF">
              <w:rPr>
                <w:rFonts w:ascii="Arial" w:hAnsi="Arial" w:cs="Arial"/>
                <w:b w:val="0"/>
                <w:color w:val="auto"/>
                <w:sz w:val="22"/>
                <w:szCs w:val="22"/>
              </w:rPr>
              <w:t xml:space="preserve"> from the driveway </w:t>
            </w:r>
            <w:r>
              <w:rPr>
                <w:rFonts w:ascii="Arial" w:hAnsi="Arial" w:cs="Arial"/>
                <w:b w:val="0"/>
                <w:color w:val="auto"/>
                <w:sz w:val="22"/>
                <w:szCs w:val="22"/>
              </w:rPr>
              <w:t xml:space="preserve">are </w:t>
            </w:r>
            <w:r w:rsidR="00E865BF">
              <w:rPr>
                <w:rFonts w:ascii="Arial" w:hAnsi="Arial" w:cs="Arial"/>
                <w:b w:val="0"/>
                <w:color w:val="auto"/>
                <w:sz w:val="22"/>
                <w:szCs w:val="22"/>
              </w:rPr>
              <w:t xml:space="preserve">considered suitable. </w:t>
            </w:r>
          </w:p>
          <w:p w14:paraId="3786D057" w14:textId="72CE6CAF" w:rsidR="002F3DA1" w:rsidRPr="0057293D" w:rsidRDefault="00E865BF"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Vehicle entry is separate from pedestrian entry.</w:t>
            </w:r>
          </w:p>
        </w:tc>
        <w:tc>
          <w:tcPr>
            <w:tcW w:w="1587" w:type="dxa"/>
          </w:tcPr>
          <w:p w14:paraId="49F36129" w14:textId="3EAC0899" w:rsidR="002F3DA1" w:rsidRPr="0057293D" w:rsidRDefault="00E865BF"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2F3DA1" w:rsidRPr="0099029A" w14:paraId="0489C860"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3266E0F" w14:textId="77777777" w:rsidR="002F3DA1"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3J Bicycle and car parking</w:t>
            </w:r>
          </w:p>
        </w:tc>
        <w:tc>
          <w:tcPr>
            <w:tcW w:w="8505" w:type="dxa"/>
          </w:tcPr>
          <w:p w14:paraId="42F92640" w14:textId="32DF9C68" w:rsidR="00E865BF" w:rsidRPr="00E865BF" w:rsidRDefault="00E865BF"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sidRPr="00E865BF">
              <w:rPr>
                <w:rFonts w:ascii="Arial" w:eastAsiaTheme="minorEastAsia" w:hAnsi="Arial" w:cs="Arial"/>
                <w:iCs/>
                <w:lang w:val="en-GB" w:eastAsia="zh-CN"/>
              </w:rPr>
              <w:t>As the development is in a zone where residential uses are generally prohibited, the relevant part of the DCP does not contain parking rates for seniors living</w:t>
            </w:r>
            <w:r w:rsidR="006518FF">
              <w:rPr>
                <w:rFonts w:ascii="Arial" w:eastAsiaTheme="minorEastAsia" w:hAnsi="Arial" w:cs="Arial"/>
                <w:iCs/>
                <w:lang w:val="en-GB" w:eastAsia="zh-CN"/>
              </w:rPr>
              <w:t xml:space="preserve"> and instead </w:t>
            </w:r>
            <w:r w:rsidRPr="00E865BF">
              <w:rPr>
                <w:rFonts w:ascii="Arial" w:eastAsiaTheme="minorEastAsia" w:hAnsi="Arial" w:cs="Arial"/>
                <w:iCs/>
                <w:lang w:val="en-GB" w:eastAsia="zh-CN"/>
              </w:rPr>
              <w:t>refers to the parking rates in SEPP (Housing for Seniors and People with a Disability) 2004.</w:t>
            </w:r>
          </w:p>
          <w:p w14:paraId="6B3D2F6D" w14:textId="77777777" w:rsidR="00E865BF" w:rsidRPr="00E865BF" w:rsidRDefault="00E865BF"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sidRPr="00E865BF">
              <w:rPr>
                <w:rFonts w:ascii="Arial" w:eastAsiaTheme="minorEastAsia" w:hAnsi="Arial" w:cs="Arial"/>
                <w:iCs/>
                <w:lang w:val="en-GB" w:eastAsia="zh-CN"/>
              </w:rPr>
              <w:t>The number of on-site car parking spaces required for the development under SEPP Seniors Living as follows:</w:t>
            </w:r>
          </w:p>
          <w:p w14:paraId="2551620F" w14:textId="3E168456" w:rsidR="00E865BF" w:rsidRPr="006518FF" w:rsidRDefault="00E865BF" w:rsidP="006518F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sidRPr="006518FF">
              <w:rPr>
                <w:rFonts w:ascii="Arial" w:eastAsiaTheme="minorEastAsia" w:hAnsi="Arial" w:cs="Arial"/>
                <w:iCs/>
                <w:lang w:val="en-GB" w:eastAsia="zh-CN"/>
              </w:rPr>
              <w:t>0.5 car spaces for each bedroom, where the application is made by a person other than a social housing provider.</w:t>
            </w:r>
          </w:p>
          <w:p w14:paraId="6D89C33D" w14:textId="389FE9D8" w:rsidR="006518FF" w:rsidRDefault="006518FF"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Pr>
                <w:rFonts w:ascii="Arial" w:eastAsiaTheme="minorEastAsia" w:hAnsi="Arial" w:cs="Arial"/>
                <w:iCs/>
                <w:lang w:val="en-GB" w:eastAsia="zh-CN"/>
              </w:rPr>
              <w:t xml:space="preserve">The application proposes </w:t>
            </w:r>
            <w:r w:rsidR="00E865BF" w:rsidRPr="00E865BF">
              <w:rPr>
                <w:rFonts w:ascii="Arial" w:eastAsiaTheme="minorEastAsia" w:hAnsi="Arial" w:cs="Arial"/>
                <w:iCs/>
                <w:lang w:val="en-GB" w:eastAsia="zh-CN"/>
              </w:rPr>
              <w:t xml:space="preserve">75 </w:t>
            </w:r>
            <w:r w:rsidR="00B52EFC">
              <w:rPr>
                <w:rFonts w:ascii="Arial" w:eastAsiaTheme="minorEastAsia" w:hAnsi="Arial" w:cs="Arial"/>
                <w:iCs/>
                <w:lang w:val="en-GB" w:eastAsia="zh-CN"/>
              </w:rPr>
              <w:t>apartments</w:t>
            </w:r>
            <w:r>
              <w:rPr>
                <w:rFonts w:ascii="Arial" w:eastAsiaTheme="minorEastAsia" w:hAnsi="Arial" w:cs="Arial"/>
                <w:iCs/>
                <w:lang w:val="en-GB" w:eastAsia="zh-CN"/>
              </w:rPr>
              <w:t xml:space="preserve"> comprising a mix of 2 bedroom and </w:t>
            </w:r>
            <w:proofErr w:type="gramStart"/>
            <w:r>
              <w:rPr>
                <w:rFonts w:ascii="Arial" w:eastAsiaTheme="minorEastAsia" w:hAnsi="Arial" w:cs="Arial"/>
                <w:iCs/>
                <w:lang w:val="en-GB" w:eastAsia="zh-CN"/>
              </w:rPr>
              <w:t>3 bedroom</w:t>
            </w:r>
            <w:proofErr w:type="gramEnd"/>
            <w:r>
              <w:rPr>
                <w:rFonts w:ascii="Arial" w:eastAsiaTheme="minorEastAsia" w:hAnsi="Arial" w:cs="Arial"/>
                <w:iCs/>
                <w:lang w:val="en-GB" w:eastAsia="zh-CN"/>
              </w:rPr>
              <w:t xml:space="preserve"> </w:t>
            </w:r>
            <w:r w:rsidR="00B52EFC">
              <w:rPr>
                <w:rFonts w:ascii="Arial" w:eastAsiaTheme="minorEastAsia" w:hAnsi="Arial" w:cs="Arial"/>
                <w:iCs/>
                <w:lang w:val="en-GB" w:eastAsia="zh-CN"/>
              </w:rPr>
              <w:t>apartments</w:t>
            </w:r>
            <w:r>
              <w:rPr>
                <w:rFonts w:ascii="Arial" w:eastAsiaTheme="minorEastAsia" w:hAnsi="Arial" w:cs="Arial"/>
                <w:iCs/>
                <w:lang w:val="en-GB" w:eastAsia="zh-CN"/>
              </w:rPr>
              <w:t xml:space="preserve"> and generates 89 car parking spaces. </w:t>
            </w:r>
          </w:p>
          <w:p w14:paraId="51EFB106" w14:textId="77777777" w:rsidR="00B649AF" w:rsidRDefault="00E865BF"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sidRPr="00E865BF">
              <w:rPr>
                <w:rFonts w:ascii="Arial" w:eastAsiaTheme="minorEastAsia" w:hAnsi="Arial" w:cs="Arial"/>
                <w:iCs/>
                <w:lang w:val="en-GB" w:eastAsia="zh-CN"/>
              </w:rPr>
              <w:lastRenderedPageBreak/>
              <w:t xml:space="preserve">The </w:t>
            </w:r>
            <w:r w:rsidR="006518FF">
              <w:rPr>
                <w:rFonts w:ascii="Arial" w:eastAsiaTheme="minorEastAsia" w:hAnsi="Arial" w:cs="Arial"/>
                <w:iCs/>
                <w:lang w:val="en-GB" w:eastAsia="zh-CN"/>
              </w:rPr>
              <w:t xml:space="preserve">application </w:t>
            </w:r>
            <w:r w:rsidRPr="00E865BF">
              <w:rPr>
                <w:rFonts w:ascii="Arial" w:eastAsiaTheme="minorEastAsia" w:hAnsi="Arial" w:cs="Arial"/>
                <w:iCs/>
                <w:lang w:val="en-GB" w:eastAsia="zh-CN"/>
              </w:rPr>
              <w:t xml:space="preserve">provides </w:t>
            </w:r>
            <w:r w:rsidR="00B649AF">
              <w:rPr>
                <w:rFonts w:ascii="Arial" w:eastAsiaTheme="minorEastAsia" w:hAnsi="Arial" w:cs="Arial"/>
                <w:iCs/>
                <w:lang w:val="en-GB" w:eastAsia="zh-CN"/>
              </w:rPr>
              <w:t xml:space="preserve">90 </w:t>
            </w:r>
            <w:r w:rsidRPr="00E865BF">
              <w:rPr>
                <w:rFonts w:ascii="Arial" w:eastAsiaTheme="minorEastAsia" w:hAnsi="Arial" w:cs="Arial"/>
                <w:iCs/>
                <w:lang w:val="en-GB" w:eastAsia="zh-CN"/>
              </w:rPr>
              <w:t xml:space="preserve">car parking spaces </w:t>
            </w:r>
            <w:r w:rsidR="006518FF">
              <w:rPr>
                <w:rFonts w:ascii="Arial" w:eastAsiaTheme="minorEastAsia" w:hAnsi="Arial" w:cs="Arial"/>
                <w:iCs/>
                <w:lang w:val="en-GB" w:eastAsia="zh-CN"/>
              </w:rPr>
              <w:t>in total</w:t>
            </w:r>
            <w:r w:rsidR="00B649AF">
              <w:rPr>
                <w:rFonts w:ascii="Arial" w:eastAsiaTheme="minorEastAsia" w:hAnsi="Arial" w:cs="Arial"/>
                <w:iCs/>
                <w:lang w:val="en-GB" w:eastAsia="zh-CN"/>
              </w:rPr>
              <w:t xml:space="preserve"> comprising </w:t>
            </w:r>
            <w:r w:rsidR="006518FF">
              <w:rPr>
                <w:rFonts w:ascii="Arial" w:eastAsiaTheme="minorEastAsia" w:hAnsi="Arial" w:cs="Arial"/>
                <w:iCs/>
                <w:lang w:val="en-GB" w:eastAsia="zh-CN"/>
              </w:rPr>
              <w:t xml:space="preserve">83 </w:t>
            </w:r>
            <w:r w:rsidRPr="00E865BF">
              <w:rPr>
                <w:rFonts w:ascii="Arial" w:eastAsiaTheme="minorEastAsia" w:hAnsi="Arial" w:cs="Arial"/>
                <w:iCs/>
                <w:lang w:val="en-GB" w:eastAsia="zh-CN"/>
              </w:rPr>
              <w:t>within the basement area,</w:t>
            </w:r>
            <w:r w:rsidR="006518FF">
              <w:rPr>
                <w:rFonts w:ascii="Arial" w:eastAsiaTheme="minorEastAsia" w:hAnsi="Arial" w:cs="Arial"/>
                <w:iCs/>
                <w:lang w:val="en-GB" w:eastAsia="zh-CN"/>
              </w:rPr>
              <w:t xml:space="preserve"> five </w:t>
            </w:r>
            <w:r w:rsidRPr="00E865BF">
              <w:rPr>
                <w:rFonts w:ascii="Arial" w:eastAsiaTheme="minorEastAsia" w:hAnsi="Arial" w:cs="Arial"/>
                <w:iCs/>
                <w:lang w:val="en-GB" w:eastAsia="zh-CN"/>
              </w:rPr>
              <w:t>spaces within the Glover Street</w:t>
            </w:r>
            <w:r w:rsidR="00B649AF">
              <w:rPr>
                <w:rFonts w:ascii="Arial" w:eastAsiaTheme="minorEastAsia" w:hAnsi="Arial" w:cs="Arial"/>
                <w:iCs/>
                <w:lang w:val="en-GB" w:eastAsia="zh-CN"/>
              </w:rPr>
              <w:t xml:space="preserve"> setback</w:t>
            </w:r>
            <w:r w:rsidRPr="00E865BF">
              <w:rPr>
                <w:rFonts w:ascii="Arial" w:eastAsiaTheme="minorEastAsia" w:hAnsi="Arial" w:cs="Arial"/>
                <w:iCs/>
                <w:lang w:val="en-GB" w:eastAsia="zh-CN"/>
              </w:rPr>
              <w:t xml:space="preserve">, </w:t>
            </w:r>
            <w:r w:rsidR="00B649AF">
              <w:rPr>
                <w:rFonts w:ascii="Arial" w:eastAsiaTheme="minorEastAsia" w:hAnsi="Arial" w:cs="Arial"/>
                <w:iCs/>
                <w:lang w:val="en-GB" w:eastAsia="zh-CN"/>
              </w:rPr>
              <w:t xml:space="preserve">and two </w:t>
            </w:r>
            <w:r w:rsidRPr="00E865BF">
              <w:rPr>
                <w:rFonts w:ascii="Arial" w:eastAsiaTheme="minorEastAsia" w:hAnsi="Arial" w:cs="Arial"/>
                <w:iCs/>
                <w:lang w:val="en-GB" w:eastAsia="zh-CN"/>
              </w:rPr>
              <w:t>accessible spaces adjacent to the drop off point at the front of the building</w:t>
            </w:r>
            <w:r w:rsidR="00B649AF">
              <w:rPr>
                <w:rFonts w:ascii="Arial" w:eastAsiaTheme="minorEastAsia" w:hAnsi="Arial" w:cs="Arial"/>
                <w:iCs/>
                <w:lang w:val="en-GB" w:eastAsia="zh-CN"/>
              </w:rPr>
              <w:t>.</w:t>
            </w:r>
            <w:r>
              <w:rPr>
                <w:rFonts w:ascii="Arial" w:eastAsiaTheme="minorEastAsia" w:hAnsi="Arial" w:cs="Arial"/>
                <w:iCs/>
                <w:lang w:val="en-GB" w:eastAsia="zh-CN"/>
              </w:rPr>
              <w:t xml:space="preserve"> </w:t>
            </w:r>
          </w:p>
          <w:p w14:paraId="54591B5A" w14:textId="3161C6D1" w:rsidR="002A6138" w:rsidRPr="00E865BF" w:rsidRDefault="00E865BF"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Pr>
                <w:rFonts w:ascii="Arial" w:eastAsiaTheme="minorEastAsia" w:hAnsi="Arial" w:cs="Arial"/>
                <w:iCs/>
                <w:lang w:val="en-GB" w:eastAsia="zh-CN"/>
              </w:rPr>
              <w:t>Several dedicated electric vehicle charging sites are included.</w:t>
            </w:r>
            <w:r w:rsidR="00B649AF">
              <w:rPr>
                <w:rFonts w:ascii="Arial" w:eastAsiaTheme="minorEastAsia" w:hAnsi="Arial" w:cs="Arial"/>
                <w:iCs/>
                <w:lang w:val="en-GB" w:eastAsia="zh-CN"/>
              </w:rPr>
              <w:t xml:space="preserve"> </w:t>
            </w:r>
            <w:r>
              <w:rPr>
                <w:rFonts w:ascii="Arial" w:eastAsiaTheme="minorEastAsia" w:hAnsi="Arial" w:cs="Arial"/>
                <w:iCs/>
                <w:lang w:val="en-GB" w:eastAsia="zh-CN"/>
              </w:rPr>
              <w:t xml:space="preserve">Separate parking and charging </w:t>
            </w:r>
            <w:proofErr w:type="gramStart"/>
            <w:r>
              <w:rPr>
                <w:rFonts w:ascii="Arial" w:eastAsiaTheme="minorEastAsia" w:hAnsi="Arial" w:cs="Arial"/>
                <w:iCs/>
                <w:lang w:val="en-GB" w:eastAsia="zh-CN"/>
              </w:rPr>
              <w:t>is</w:t>
            </w:r>
            <w:proofErr w:type="gramEnd"/>
            <w:r>
              <w:rPr>
                <w:rFonts w:ascii="Arial" w:eastAsiaTheme="minorEastAsia" w:hAnsi="Arial" w:cs="Arial"/>
                <w:iCs/>
                <w:lang w:val="en-GB" w:eastAsia="zh-CN"/>
              </w:rPr>
              <w:t xml:space="preserve"> provided for e-bikes and mobility scooters. Separate parking is not provided for standard </w:t>
            </w:r>
            <w:proofErr w:type="gramStart"/>
            <w:r>
              <w:rPr>
                <w:rFonts w:ascii="Arial" w:eastAsiaTheme="minorEastAsia" w:hAnsi="Arial" w:cs="Arial"/>
                <w:iCs/>
                <w:lang w:val="en-GB" w:eastAsia="zh-CN"/>
              </w:rPr>
              <w:t>bicycles,</w:t>
            </w:r>
            <w:proofErr w:type="gramEnd"/>
            <w:r>
              <w:rPr>
                <w:rFonts w:ascii="Arial" w:eastAsiaTheme="minorEastAsia" w:hAnsi="Arial" w:cs="Arial"/>
                <w:iCs/>
                <w:lang w:val="en-GB" w:eastAsia="zh-CN"/>
              </w:rPr>
              <w:t xml:space="preserve"> however this </w:t>
            </w:r>
            <w:r w:rsidR="00B649AF">
              <w:rPr>
                <w:rFonts w:ascii="Arial" w:eastAsiaTheme="minorEastAsia" w:hAnsi="Arial" w:cs="Arial"/>
                <w:iCs/>
                <w:lang w:val="en-GB" w:eastAsia="zh-CN"/>
              </w:rPr>
              <w:t>can be conditioned if required.</w:t>
            </w:r>
          </w:p>
        </w:tc>
        <w:tc>
          <w:tcPr>
            <w:tcW w:w="1587" w:type="dxa"/>
          </w:tcPr>
          <w:p w14:paraId="797B26BB" w14:textId="3A9D46A5" w:rsidR="002F3DA1" w:rsidRPr="0057293D" w:rsidRDefault="00E865BF"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lastRenderedPageBreak/>
              <w:t>Y</w:t>
            </w:r>
          </w:p>
        </w:tc>
      </w:tr>
      <w:tr w:rsidR="00B47BF5" w:rsidRPr="0099029A" w14:paraId="1D091FD3"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34D8C8D7" w14:textId="77777777" w:rsidR="00B47BF5"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4A Solar and daylight access</w:t>
            </w:r>
          </w:p>
        </w:tc>
        <w:tc>
          <w:tcPr>
            <w:tcW w:w="8505" w:type="dxa"/>
          </w:tcPr>
          <w:p w14:paraId="61A248F8" w14:textId="0C4FA6BF" w:rsidR="005B308A" w:rsidRPr="00726C2C" w:rsidRDefault="00B52EFC" w:rsidP="000E7169">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iCs/>
                <w:lang w:val="en-GB" w:eastAsia="zh-CN"/>
              </w:rPr>
            </w:pPr>
            <w:r>
              <w:rPr>
                <w:rFonts w:ascii="Arial" w:eastAsiaTheme="minorEastAsia" w:hAnsi="Arial" w:cs="Arial"/>
                <w:iCs/>
                <w:lang w:val="en-GB" w:eastAsia="zh-CN"/>
              </w:rPr>
              <w:t xml:space="preserve">The development achieves appropriate solar access with </w:t>
            </w:r>
            <w:r w:rsidR="005B308A" w:rsidRPr="00726C2C">
              <w:rPr>
                <w:rFonts w:ascii="Arial" w:eastAsiaTheme="minorEastAsia" w:hAnsi="Arial" w:cs="Arial"/>
                <w:iCs/>
                <w:lang w:val="en-GB" w:eastAsia="zh-CN"/>
              </w:rPr>
              <w:t xml:space="preserve">52 of the 75 </w:t>
            </w:r>
            <w:r>
              <w:rPr>
                <w:rFonts w:ascii="Arial" w:eastAsiaTheme="minorEastAsia" w:hAnsi="Arial" w:cs="Arial"/>
                <w:iCs/>
                <w:lang w:val="en-GB" w:eastAsia="zh-CN"/>
              </w:rPr>
              <w:t xml:space="preserve">apartments </w:t>
            </w:r>
            <w:r w:rsidR="005B308A" w:rsidRPr="00726C2C">
              <w:rPr>
                <w:rFonts w:ascii="Arial" w:eastAsiaTheme="minorEastAsia" w:hAnsi="Arial" w:cs="Arial"/>
                <w:iCs/>
                <w:lang w:val="en-GB" w:eastAsia="zh-CN"/>
              </w:rPr>
              <w:t>(69.3%) receiv</w:t>
            </w:r>
            <w:r>
              <w:rPr>
                <w:rFonts w:ascii="Arial" w:eastAsiaTheme="minorEastAsia" w:hAnsi="Arial" w:cs="Arial"/>
                <w:iCs/>
                <w:lang w:val="en-GB" w:eastAsia="zh-CN"/>
              </w:rPr>
              <w:t>ing</w:t>
            </w:r>
            <w:r w:rsidR="005B308A" w:rsidRPr="00726C2C">
              <w:rPr>
                <w:rFonts w:ascii="Arial" w:eastAsiaTheme="minorEastAsia" w:hAnsi="Arial" w:cs="Arial"/>
                <w:iCs/>
                <w:lang w:val="en-GB" w:eastAsia="zh-CN"/>
              </w:rPr>
              <w:t xml:space="preserve"> </w:t>
            </w:r>
            <w:r>
              <w:rPr>
                <w:rFonts w:ascii="Arial" w:eastAsiaTheme="minorEastAsia" w:hAnsi="Arial" w:cs="Arial"/>
                <w:iCs/>
                <w:lang w:val="en-GB" w:eastAsia="zh-CN"/>
              </w:rPr>
              <w:t xml:space="preserve">three </w:t>
            </w:r>
            <w:r w:rsidR="005B308A" w:rsidRPr="00726C2C">
              <w:rPr>
                <w:rFonts w:ascii="Arial" w:eastAsiaTheme="minorEastAsia" w:hAnsi="Arial" w:cs="Arial"/>
                <w:iCs/>
                <w:lang w:val="en-GB" w:eastAsia="zh-CN"/>
              </w:rPr>
              <w:t xml:space="preserve">or more hours of solar access mid-winter. A further </w:t>
            </w:r>
            <w:r>
              <w:rPr>
                <w:rFonts w:ascii="Arial" w:eastAsiaTheme="minorEastAsia" w:hAnsi="Arial" w:cs="Arial"/>
                <w:iCs/>
                <w:lang w:val="en-GB" w:eastAsia="zh-CN"/>
              </w:rPr>
              <w:t>four</w:t>
            </w:r>
            <w:r w:rsidR="005B308A" w:rsidRPr="00726C2C">
              <w:rPr>
                <w:rFonts w:ascii="Arial" w:eastAsiaTheme="minorEastAsia" w:hAnsi="Arial" w:cs="Arial"/>
                <w:iCs/>
                <w:lang w:val="en-GB" w:eastAsia="zh-CN"/>
              </w:rPr>
              <w:t xml:space="preserve"> apartments (5.3%) receive greater than 2.5 hours</w:t>
            </w:r>
            <w:r w:rsidR="00726C2C" w:rsidRPr="00726C2C">
              <w:rPr>
                <w:rFonts w:ascii="Arial" w:eastAsiaTheme="minorEastAsia" w:hAnsi="Arial" w:cs="Arial"/>
                <w:iCs/>
                <w:lang w:val="en-GB" w:eastAsia="zh-CN"/>
              </w:rPr>
              <w:t>.</w:t>
            </w:r>
            <w:r>
              <w:rPr>
                <w:rFonts w:ascii="Arial" w:eastAsiaTheme="minorEastAsia" w:hAnsi="Arial" w:cs="Arial"/>
                <w:iCs/>
                <w:lang w:val="en-GB" w:eastAsia="zh-CN"/>
              </w:rPr>
              <w:t xml:space="preserve"> And only four </w:t>
            </w:r>
            <w:r w:rsidR="005B308A" w:rsidRPr="00726C2C">
              <w:rPr>
                <w:rFonts w:ascii="Arial" w:eastAsiaTheme="minorEastAsia" w:hAnsi="Arial" w:cs="Arial"/>
                <w:iCs/>
                <w:lang w:val="en-GB" w:eastAsia="zh-CN"/>
              </w:rPr>
              <w:t xml:space="preserve">apartments (5.3%) receive no direct solar access in midwinter, which is less than the maximum allowable of 15%. </w:t>
            </w:r>
            <w:r>
              <w:rPr>
                <w:rFonts w:ascii="Arial" w:hAnsi="Arial" w:cs="Arial"/>
              </w:rPr>
              <w:t xml:space="preserve">Council’s </w:t>
            </w:r>
            <w:r w:rsidR="0027503E">
              <w:rPr>
                <w:rFonts w:ascii="Arial" w:hAnsi="Arial" w:cs="Arial"/>
              </w:rPr>
              <w:t>D</w:t>
            </w:r>
            <w:r>
              <w:rPr>
                <w:rFonts w:ascii="Arial" w:hAnsi="Arial" w:cs="Arial"/>
              </w:rPr>
              <w:t xml:space="preserve">esign </w:t>
            </w:r>
            <w:r w:rsidR="0027503E">
              <w:rPr>
                <w:rFonts w:ascii="Arial" w:hAnsi="Arial" w:cs="Arial"/>
              </w:rPr>
              <w:t>R</w:t>
            </w:r>
            <w:r>
              <w:rPr>
                <w:rFonts w:ascii="Arial" w:hAnsi="Arial" w:cs="Arial"/>
              </w:rPr>
              <w:t xml:space="preserve">eview </w:t>
            </w:r>
            <w:r w:rsidR="0027503E">
              <w:rPr>
                <w:rFonts w:ascii="Arial" w:hAnsi="Arial" w:cs="Arial"/>
              </w:rPr>
              <w:t>P</w:t>
            </w:r>
            <w:r>
              <w:rPr>
                <w:rFonts w:ascii="Arial" w:hAnsi="Arial" w:cs="Arial"/>
              </w:rPr>
              <w:t>anel</w:t>
            </w:r>
            <w:r w:rsidR="0027503E">
              <w:rPr>
                <w:rFonts w:ascii="Arial" w:hAnsi="Arial" w:cs="Arial"/>
              </w:rPr>
              <w:t xml:space="preserve"> (DRP)</w:t>
            </w:r>
            <w:r>
              <w:rPr>
                <w:rFonts w:ascii="Arial" w:hAnsi="Arial" w:cs="Arial"/>
              </w:rPr>
              <w:t xml:space="preserve"> were satisfied with the solar access.</w:t>
            </w:r>
          </w:p>
          <w:p w14:paraId="7B9DC242" w14:textId="3240B66C" w:rsidR="00726C2C" w:rsidRPr="00726C2C" w:rsidRDefault="005B308A"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sidRPr="00726C2C">
              <w:rPr>
                <w:rFonts w:ascii="Arial" w:hAnsi="Arial" w:cs="Arial"/>
                <w:b w:val="0"/>
                <w:color w:val="auto"/>
                <w:sz w:val="22"/>
                <w:szCs w:val="22"/>
              </w:rPr>
              <w:t>The proposal documentation demonstrates suitable solar access to neighbouring lots.</w:t>
            </w:r>
          </w:p>
        </w:tc>
        <w:tc>
          <w:tcPr>
            <w:tcW w:w="1587" w:type="dxa"/>
          </w:tcPr>
          <w:p w14:paraId="6E325C3A" w14:textId="7C3E3B74" w:rsidR="00B47BF5" w:rsidRPr="0057293D" w:rsidRDefault="00726C2C"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B47BF5" w:rsidRPr="0099029A" w14:paraId="3FF56099"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021693C9" w14:textId="77777777" w:rsidR="00B47BF5"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4B Natural ventilation</w:t>
            </w:r>
          </w:p>
        </w:tc>
        <w:tc>
          <w:tcPr>
            <w:tcW w:w="8505" w:type="dxa"/>
          </w:tcPr>
          <w:p w14:paraId="373026FD" w14:textId="6E208832" w:rsidR="00B47BF5" w:rsidRPr="0027503E" w:rsidRDefault="0027503E" w:rsidP="0027503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Council’s DRP</w:t>
            </w:r>
            <w:r>
              <w:rPr>
                <w:rFonts w:ascii="Arial" w:hAnsi="Arial" w:cs="Arial"/>
              </w:rPr>
              <w:t xml:space="preserve"> were satisfied with the </w:t>
            </w:r>
            <w:r>
              <w:rPr>
                <w:rFonts w:ascii="Arial" w:hAnsi="Arial" w:cs="Arial"/>
              </w:rPr>
              <w:t xml:space="preserve">development’s </w:t>
            </w:r>
            <w:r>
              <w:rPr>
                <w:rFonts w:ascii="Arial" w:hAnsi="Arial" w:cs="Arial"/>
              </w:rPr>
              <w:t>cross ventilation.</w:t>
            </w:r>
          </w:p>
        </w:tc>
        <w:tc>
          <w:tcPr>
            <w:tcW w:w="1587" w:type="dxa"/>
          </w:tcPr>
          <w:p w14:paraId="4D548EC1" w14:textId="1211DAA7" w:rsidR="00B47BF5" w:rsidRPr="0057293D" w:rsidRDefault="00726C2C"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B47BF5" w:rsidRPr="0099029A" w14:paraId="0317B5C8"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387A94B" w14:textId="77777777" w:rsidR="00B47BF5" w:rsidRPr="002A6138" w:rsidRDefault="00B47BF5"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4C Ceiling heights</w:t>
            </w:r>
          </w:p>
        </w:tc>
        <w:tc>
          <w:tcPr>
            <w:tcW w:w="8505" w:type="dxa"/>
          </w:tcPr>
          <w:p w14:paraId="467688AC" w14:textId="53D1ACEF" w:rsidR="002A6138" w:rsidRPr="0057293D" w:rsidRDefault="002D3371"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The design </w:t>
            </w:r>
            <w:r w:rsidR="0027503E">
              <w:rPr>
                <w:rFonts w:ascii="Arial" w:hAnsi="Arial" w:cs="Arial"/>
                <w:b w:val="0"/>
                <w:color w:val="auto"/>
                <w:sz w:val="22"/>
                <w:szCs w:val="22"/>
              </w:rPr>
              <w:t>provides</w:t>
            </w:r>
            <w:r>
              <w:rPr>
                <w:rFonts w:ascii="Arial" w:hAnsi="Arial" w:cs="Arial"/>
                <w:b w:val="0"/>
                <w:color w:val="auto"/>
                <w:sz w:val="22"/>
                <w:szCs w:val="22"/>
              </w:rPr>
              <w:t xml:space="preserve"> 2.7m ceiling heights.</w:t>
            </w:r>
          </w:p>
        </w:tc>
        <w:tc>
          <w:tcPr>
            <w:tcW w:w="1587" w:type="dxa"/>
          </w:tcPr>
          <w:p w14:paraId="4C6613F0" w14:textId="4D30B847" w:rsidR="00B47BF5" w:rsidRPr="0057293D" w:rsidRDefault="002D3371"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1AB598A4"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FA57A18"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4D Apartment size and layout</w:t>
            </w:r>
          </w:p>
        </w:tc>
        <w:tc>
          <w:tcPr>
            <w:tcW w:w="8505" w:type="dxa"/>
          </w:tcPr>
          <w:p w14:paraId="7BD68B18" w14:textId="57107820" w:rsidR="006A2D34" w:rsidRPr="006A2D34" w:rsidRDefault="006A2D34" w:rsidP="000E716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iCs/>
                <w:lang w:val="en-GB" w:eastAsia="zh-CN"/>
              </w:rPr>
            </w:pPr>
            <w:r w:rsidRPr="006A2D34">
              <w:rPr>
                <w:rFonts w:ascii="Arial" w:eastAsiaTheme="minorEastAsia" w:hAnsi="Arial" w:cs="Arial"/>
                <w:iCs/>
                <w:lang w:val="en-GB" w:eastAsia="zh-CN"/>
              </w:rPr>
              <w:t>The layout of rooms with an apartment is functional, well organised and provides a high standard of amenity</w:t>
            </w:r>
          </w:p>
          <w:p w14:paraId="4DDD7C40" w14:textId="77777777" w:rsidR="006A2D34" w:rsidRDefault="006A2D34"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sidRPr="006A2D34">
              <w:rPr>
                <w:rFonts w:ascii="Arial" w:hAnsi="Arial" w:cs="Arial"/>
                <w:b w:val="0"/>
                <w:color w:val="auto"/>
                <w:sz w:val="22"/>
                <w:szCs w:val="22"/>
              </w:rPr>
              <w:t>All apartments achieve compliance with the minimum internal areas and dimensions for living areas and bedrooms.</w:t>
            </w:r>
          </w:p>
          <w:p w14:paraId="1BA5AEBE" w14:textId="77777777" w:rsidR="0027503E" w:rsidRDefault="002D3371"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Windows are provided to habitable rooms to required dimensions. </w:t>
            </w:r>
          </w:p>
          <w:p w14:paraId="4A49CCA7" w14:textId="14ADE886" w:rsidR="002A6138" w:rsidRPr="0057293D" w:rsidRDefault="002D3371"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Apartment depths are within the maximums allowable.</w:t>
            </w:r>
          </w:p>
        </w:tc>
        <w:tc>
          <w:tcPr>
            <w:tcW w:w="1587" w:type="dxa"/>
          </w:tcPr>
          <w:p w14:paraId="0C3CFCA9" w14:textId="237FC362" w:rsidR="006A2D34" w:rsidRPr="0057293D" w:rsidRDefault="006A2D34"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2E69B73F"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3AD9CBA"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lastRenderedPageBreak/>
              <w:t>4E Private open space and balconies</w:t>
            </w:r>
          </w:p>
        </w:tc>
        <w:tc>
          <w:tcPr>
            <w:tcW w:w="8505" w:type="dxa"/>
          </w:tcPr>
          <w:p w14:paraId="0C760098" w14:textId="77777777" w:rsidR="0027503E" w:rsidRDefault="002D3371"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All balconies meet or exceed the minimum areas and depths.</w:t>
            </w:r>
            <w:r w:rsidR="00A91429">
              <w:rPr>
                <w:rFonts w:ascii="Arial" w:hAnsi="Arial" w:cs="Arial"/>
                <w:b w:val="0"/>
                <w:color w:val="auto"/>
                <w:sz w:val="22"/>
                <w:szCs w:val="22"/>
              </w:rPr>
              <w:t xml:space="preserve"> </w:t>
            </w:r>
          </w:p>
          <w:p w14:paraId="4A919478" w14:textId="2398BBA5" w:rsidR="006A2D34" w:rsidRDefault="00A91429"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Ground floor apartments have terraces instead of balconies. Balconies have orientations to the east, west o</w:t>
            </w:r>
            <w:r w:rsidR="0027503E">
              <w:rPr>
                <w:rFonts w:ascii="Arial" w:hAnsi="Arial" w:cs="Arial"/>
                <w:b w:val="0"/>
                <w:color w:val="auto"/>
                <w:sz w:val="22"/>
                <w:szCs w:val="22"/>
              </w:rPr>
              <w:t>r</w:t>
            </w:r>
            <w:r>
              <w:rPr>
                <w:rFonts w:ascii="Arial" w:hAnsi="Arial" w:cs="Arial"/>
                <w:b w:val="0"/>
                <w:color w:val="auto"/>
                <w:sz w:val="22"/>
                <w:szCs w:val="22"/>
              </w:rPr>
              <w:t xml:space="preserve"> north, or multiple balconies where at least one has optimal orientation.</w:t>
            </w:r>
          </w:p>
          <w:p w14:paraId="76625A8B" w14:textId="6496ED63" w:rsidR="00A91429" w:rsidRPr="0057293D" w:rsidRDefault="00A91429"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Balconies are </w:t>
            </w:r>
            <w:r w:rsidR="00AA2C18">
              <w:rPr>
                <w:rFonts w:ascii="Arial" w:hAnsi="Arial" w:cs="Arial"/>
                <w:b w:val="0"/>
                <w:color w:val="auto"/>
                <w:sz w:val="22"/>
                <w:szCs w:val="22"/>
              </w:rPr>
              <w:t xml:space="preserve">interestingly designed and contribute to the overall aesthetic of the building. Ground floor balconies facing the internal courtyard are designed to </w:t>
            </w:r>
            <w:r w:rsidR="0027503E">
              <w:rPr>
                <w:rFonts w:ascii="Arial" w:hAnsi="Arial" w:cs="Arial"/>
                <w:b w:val="0"/>
                <w:color w:val="auto"/>
                <w:sz w:val="22"/>
                <w:szCs w:val="22"/>
              </w:rPr>
              <w:t xml:space="preserve">enable </w:t>
            </w:r>
            <w:r w:rsidR="00AA2C18">
              <w:rPr>
                <w:rFonts w:ascii="Arial" w:hAnsi="Arial" w:cs="Arial"/>
                <w:b w:val="0"/>
                <w:color w:val="auto"/>
                <w:sz w:val="22"/>
                <w:szCs w:val="22"/>
              </w:rPr>
              <w:t>deep soil planting.</w:t>
            </w:r>
          </w:p>
        </w:tc>
        <w:tc>
          <w:tcPr>
            <w:tcW w:w="1587" w:type="dxa"/>
          </w:tcPr>
          <w:p w14:paraId="36387192" w14:textId="0DA81C1A" w:rsidR="006A2D34" w:rsidRPr="0057293D" w:rsidRDefault="00A91429"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59414079"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28A7B11F"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4F Common circulation and spaces</w:t>
            </w:r>
          </w:p>
        </w:tc>
        <w:tc>
          <w:tcPr>
            <w:tcW w:w="8505" w:type="dxa"/>
          </w:tcPr>
          <w:p w14:paraId="5C160FF3" w14:textId="649346EB" w:rsidR="006A2D34" w:rsidRDefault="00AA2C18"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The development has greater than </w:t>
            </w:r>
            <w:r w:rsidR="0027503E">
              <w:rPr>
                <w:rFonts w:ascii="Arial" w:hAnsi="Arial" w:cs="Arial"/>
                <w:b w:val="0"/>
                <w:color w:val="auto"/>
                <w:sz w:val="22"/>
                <w:szCs w:val="22"/>
              </w:rPr>
              <w:t xml:space="preserve">eight </w:t>
            </w:r>
            <w:r w:rsidR="00B52EFC">
              <w:rPr>
                <w:rFonts w:ascii="Arial" w:hAnsi="Arial" w:cs="Arial"/>
                <w:b w:val="0"/>
                <w:color w:val="auto"/>
                <w:sz w:val="22"/>
                <w:szCs w:val="22"/>
              </w:rPr>
              <w:t>apartments</w:t>
            </w:r>
            <w:r>
              <w:rPr>
                <w:rFonts w:ascii="Arial" w:hAnsi="Arial" w:cs="Arial"/>
                <w:b w:val="0"/>
                <w:color w:val="auto"/>
                <w:sz w:val="22"/>
                <w:szCs w:val="22"/>
              </w:rPr>
              <w:t xml:space="preserve"> accessed from each core. The location of the cores was logical in its relationship to the car park and common spaces. Resting points are included along the corridors at the recommendation of the </w:t>
            </w:r>
            <w:r w:rsidR="0027503E">
              <w:rPr>
                <w:rFonts w:ascii="Arial" w:hAnsi="Arial" w:cs="Arial"/>
                <w:b w:val="0"/>
                <w:color w:val="auto"/>
                <w:sz w:val="22"/>
                <w:szCs w:val="22"/>
              </w:rPr>
              <w:t>DRP</w:t>
            </w:r>
            <w:r>
              <w:rPr>
                <w:rFonts w:ascii="Arial" w:hAnsi="Arial" w:cs="Arial"/>
                <w:b w:val="0"/>
                <w:color w:val="auto"/>
                <w:sz w:val="22"/>
                <w:szCs w:val="22"/>
              </w:rPr>
              <w:t>. Articulation and windows are provided within the circulation area.</w:t>
            </w:r>
          </w:p>
          <w:p w14:paraId="4442C5CF" w14:textId="58089BD9" w:rsidR="00AA2C18" w:rsidRPr="0057293D" w:rsidRDefault="00AA2C18"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Dining, lounge and exercise rooms are provided as common space.</w:t>
            </w:r>
          </w:p>
        </w:tc>
        <w:tc>
          <w:tcPr>
            <w:tcW w:w="1587" w:type="dxa"/>
          </w:tcPr>
          <w:p w14:paraId="50AB5DFB" w14:textId="6CABFC62" w:rsidR="006A2D34" w:rsidRPr="0057293D" w:rsidRDefault="00AA2C18"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7AE109CF"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37533714"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4G Storage</w:t>
            </w:r>
          </w:p>
        </w:tc>
        <w:tc>
          <w:tcPr>
            <w:tcW w:w="8505" w:type="dxa"/>
          </w:tcPr>
          <w:p w14:paraId="0E74BAEF" w14:textId="64A0B14E" w:rsidR="006A2D34" w:rsidRPr="0057293D" w:rsidRDefault="00753C69"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Adequate storage space is provided within the apartments and as cages within the car park.</w:t>
            </w:r>
          </w:p>
        </w:tc>
        <w:tc>
          <w:tcPr>
            <w:tcW w:w="1587" w:type="dxa"/>
          </w:tcPr>
          <w:p w14:paraId="2F340CEF" w14:textId="03BEEF9B" w:rsidR="006A2D34" w:rsidRPr="0057293D" w:rsidRDefault="00753C69"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2C5C7AFC"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26423400"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4H Acoustic privacy</w:t>
            </w:r>
          </w:p>
        </w:tc>
        <w:tc>
          <w:tcPr>
            <w:tcW w:w="8505" w:type="dxa"/>
          </w:tcPr>
          <w:p w14:paraId="54D1A9C2" w14:textId="6DB9AB42" w:rsidR="006A2D34" w:rsidRPr="0057293D" w:rsidRDefault="00753C69"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Noise transfer between parts of the building has been considered in the design and layout.</w:t>
            </w:r>
          </w:p>
        </w:tc>
        <w:tc>
          <w:tcPr>
            <w:tcW w:w="1587" w:type="dxa"/>
          </w:tcPr>
          <w:p w14:paraId="0A6A5571" w14:textId="06EBE61C" w:rsidR="006A2D34" w:rsidRPr="0057293D" w:rsidRDefault="00753C69"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7989F8B7"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72E6F275"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4J Noise and pollution</w:t>
            </w:r>
          </w:p>
        </w:tc>
        <w:tc>
          <w:tcPr>
            <w:tcW w:w="8505" w:type="dxa"/>
          </w:tcPr>
          <w:p w14:paraId="20F05556" w14:textId="72EC9C0E" w:rsidR="006A2D34" w:rsidRPr="0057293D" w:rsidRDefault="00753C69"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site is not located near a source of road, rail or aircraft noise. The sports</w:t>
            </w:r>
            <w:r w:rsidR="00FE6542">
              <w:rPr>
                <w:rFonts w:ascii="Arial" w:hAnsi="Arial" w:cs="Arial"/>
                <w:b w:val="0"/>
                <w:color w:val="auto"/>
                <w:sz w:val="22"/>
                <w:szCs w:val="22"/>
              </w:rPr>
              <w:t xml:space="preserve"> </w:t>
            </w:r>
            <w:r>
              <w:rPr>
                <w:rFonts w:ascii="Arial" w:hAnsi="Arial" w:cs="Arial"/>
                <w:b w:val="0"/>
                <w:color w:val="auto"/>
                <w:sz w:val="22"/>
                <w:szCs w:val="22"/>
              </w:rPr>
              <w:t>fields have been considered as a potential noise source.</w:t>
            </w:r>
            <w:r w:rsidR="00FE6542">
              <w:rPr>
                <w:rFonts w:ascii="Arial" w:hAnsi="Arial" w:cs="Arial"/>
                <w:b w:val="0"/>
                <w:color w:val="auto"/>
                <w:sz w:val="22"/>
                <w:szCs w:val="22"/>
              </w:rPr>
              <w:t xml:space="preserve"> </w:t>
            </w:r>
            <w:r w:rsidR="0027503E">
              <w:rPr>
                <w:rFonts w:ascii="Arial" w:hAnsi="Arial" w:cs="Arial"/>
                <w:b w:val="0"/>
                <w:color w:val="auto"/>
                <w:sz w:val="22"/>
                <w:szCs w:val="22"/>
              </w:rPr>
              <w:t>Refer to main assessment report.</w:t>
            </w:r>
          </w:p>
        </w:tc>
        <w:tc>
          <w:tcPr>
            <w:tcW w:w="1587" w:type="dxa"/>
          </w:tcPr>
          <w:p w14:paraId="3F068E32" w14:textId="737B3B5F" w:rsidR="006A2D34" w:rsidRPr="0057293D" w:rsidRDefault="00FE6542"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5370BC2C"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D177B8B"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4K Apartment mix</w:t>
            </w:r>
          </w:p>
        </w:tc>
        <w:tc>
          <w:tcPr>
            <w:tcW w:w="8505" w:type="dxa"/>
          </w:tcPr>
          <w:p w14:paraId="48EB4F19" w14:textId="30528304" w:rsidR="006A2D34" w:rsidRPr="0057293D" w:rsidRDefault="00FE6542"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apartment mix is considered appropriate for a seniors housing development.</w:t>
            </w:r>
          </w:p>
        </w:tc>
        <w:tc>
          <w:tcPr>
            <w:tcW w:w="1587" w:type="dxa"/>
          </w:tcPr>
          <w:p w14:paraId="0646567D" w14:textId="68790D5D" w:rsidR="006A2D34" w:rsidRPr="0057293D" w:rsidRDefault="00FE6542"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32EC684C"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6EFB7C2"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4L Ground floor apartments</w:t>
            </w:r>
          </w:p>
        </w:tc>
        <w:tc>
          <w:tcPr>
            <w:tcW w:w="8505" w:type="dxa"/>
          </w:tcPr>
          <w:p w14:paraId="556943CC" w14:textId="7BB3CBA4" w:rsidR="006A2D34" w:rsidRPr="0057293D" w:rsidRDefault="00FE6542"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Ground floor apartments have direct access from common circulation spaces. Access is achieved through private open space, which is elevated and separated from the circulation to delineate private from public areas</w:t>
            </w:r>
            <w:r w:rsidR="001C343F">
              <w:rPr>
                <w:rFonts w:ascii="Arial" w:hAnsi="Arial" w:cs="Arial"/>
                <w:b w:val="0"/>
                <w:color w:val="auto"/>
                <w:sz w:val="22"/>
                <w:szCs w:val="22"/>
              </w:rPr>
              <w:t>, with l</w:t>
            </w:r>
            <w:r>
              <w:rPr>
                <w:rFonts w:ascii="Arial" w:hAnsi="Arial" w:cs="Arial"/>
                <w:b w:val="0"/>
                <w:color w:val="auto"/>
                <w:sz w:val="22"/>
                <w:szCs w:val="22"/>
              </w:rPr>
              <w:t>andscaping used as separation.</w:t>
            </w:r>
          </w:p>
        </w:tc>
        <w:tc>
          <w:tcPr>
            <w:tcW w:w="1587" w:type="dxa"/>
          </w:tcPr>
          <w:p w14:paraId="425ADD66" w14:textId="19546687" w:rsidR="006A2D34" w:rsidRPr="0057293D" w:rsidRDefault="00FE6542"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7BB925F1"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26A0812"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lastRenderedPageBreak/>
              <w:t>4M Facades</w:t>
            </w:r>
          </w:p>
        </w:tc>
        <w:tc>
          <w:tcPr>
            <w:tcW w:w="8505" w:type="dxa"/>
          </w:tcPr>
          <w:p w14:paraId="28C479ED" w14:textId="48B4ED68" w:rsidR="006A2D34" w:rsidRPr="0057293D" w:rsidRDefault="009E557E"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Facades comprise a range of balconies, walls, and windows, including to common circulation areas. Materials are varied to provide visual contrast.</w:t>
            </w:r>
          </w:p>
        </w:tc>
        <w:tc>
          <w:tcPr>
            <w:tcW w:w="1587" w:type="dxa"/>
          </w:tcPr>
          <w:p w14:paraId="14863558" w14:textId="0022E986" w:rsidR="006A2D34" w:rsidRPr="0057293D" w:rsidRDefault="009E557E"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788294ED"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08F17881"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4N Roof design</w:t>
            </w:r>
          </w:p>
        </w:tc>
        <w:tc>
          <w:tcPr>
            <w:tcW w:w="8505" w:type="dxa"/>
          </w:tcPr>
          <w:p w14:paraId="32A89A59" w14:textId="433F20DA" w:rsidR="006A2D34" w:rsidRPr="0057293D" w:rsidRDefault="009E557E"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Roof design has been segmented to provide interest and break up building bulk. Skylights and solar panels are included on the roof surface.</w:t>
            </w:r>
          </w:p>
        </w:tc>
        <w:tc>
          <w:tcPr>
            <w:tcW w:w="1587" w:type="dxa"/>
          </w:tcPr>
          <w:p w14:paraId="093605A1" w14:textId="67DC1A8B" w:rsidR="006A2D34" w:rsidRPr="0057293D" w:rsidRDefault="009E557E"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4B485462"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44984514"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4O Landscape design</w:t>
            </w:r>
          </w:p>
        </w:tc>
        <w:tc>
          <w:tcPr>
            <w:tcW w:w="8505" w:type="dxa"/>
          </w:tcPr>
          <w:p w14:paraId="4E33D636" w14:textId="77777777" w:rsidR="008B452C" w:rsidRDefault="00175B9E"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A landscape plan has been prepared by a qualified professional. Appropriate scale trees are included in the design</w:t>
            </w:r>
            <w:r w:rsidR="008B452C">
              <w:rPr>
                <w:rFonts w:ascii="Arial" w:hAnsi="Arial" w:cs="Arial"/>
                <w:b w:val="0"/>
                <w:color w:val="auto"/>
                <w:sz w:val="22"/>
                <w:szCs w:val="22"/>
              </w:rPr>
              <w:t xml:space="preserve"> and </w:t>
            </w:r>
            <w:r>
              <w:rPr>
                <w:rFonts w:ascii="Arial" w:hAnsi="Arial" w:cs="Arial"/>
                <w:b w:val="0"/>
                <w:color w:val="auto"/>
                <w:sz w:val="22"/>
                <w:szCs w:val="22"/>
              </w:rPr>
              <w:t>planting selection allows for a varied landscape.</w:t>
            </w:r>
          </w:p>
          <w:p w14:paraId="5EEFAC0D" w14:textId="77777777" w:rsidR="008B452C" w:rsidRDefault="001D4E23"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Existing mature trees are retained and incorporated into the design. </w:t>
            </w:r>
          </w:p>
          <w:p w14:paraId="209EE935" w14:textId="647E5E2C" w:rsidR="006A2D34" w:rsidRPr="0057293D" w:rsidRDefault="001D4E23"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Landscaping is located to provide buffering to private spaces and adjacent development.</w:t>
            </w:r>
          </w:p>
        </w:tc>
        <w:tc>
          <w:tcPr>
            <w:tcW w:w="1587" w:type="dxa"/>
          </w:tcPr>
          <w:p w14:paraId="0B656109" w14:textId="4E141B05" w:rsidR="006A2D34" w:rsidRPr="0057293D" w:rsidRDefault="001D4E23"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589BD307"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30DA23B2"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4P Planting on structures</w:t>
            </w:r>
          </w:p>
        </w:tc>
        <w:tc>
          <w:tcPr>
            <w:tcW w:w="8505" w:type="dxa"/>
          </w:tcPr>
          <w:p w14:paraId="3B983350" w14:textId="25C1AB72" w:rsidR="006A2D34" w:rsidRPr="0057293D" w:rsidRDefault="008B452C"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Limited</w:t>
            </w:r>
            <w:r w:rsidR="001D4E23">
              <w:rPr>
                <w:rFonts w:ascii="Arial" w:hAnsi="Arial" w:cs="Arial"/>
                <w:b w:val="0"/>
                <w:color w:val="auto"/>
                <w:sz w:val="22"/>
                <w:szCs w:val="22"/>
              </w:rPr>
              <w:t xml:space="preserve"> planting on structure is </w:t>
            </w:r>
            <w:r>
              <w:rPr>
                <w:rFonts w:ascii="Arial" w:hAnsi="Arial" w:cs="Arial"/>
                <w:b w:val="0"/>
                <w:color w:val="auto"/>
                <w:sz w:val="22"/>
                <w:szCs w:val="22"/>
              </w:rPr>
              <w:t xml:space="preserve">proposed, and only includes a portion of planting over the </w:t>
            </w:r>
            <w:r w:rsidR="001D4E23">
              <w:rPr>
                <w:rFonts w:ascii="Arial" w:hAnsi="Arial" w:cs="Arial"/>
                <w:b w:val="0"/>
                <w:color w:val="auto"/>
                <w:sz w:val="22"/>
                <w:szCs w:val="22"/>
              </w:rPr>
              <w:t>basement car park within the internal courtyard.</w:t>
            </w:r>
          </w:p>
        </w:tc>
        <w:tc>
          <w:tcPr>
            <w:tcW w:w="1587" w:type="dxa"/>
          </w:tcPr>
          <w:p w14:paraId="58F5611F" w14:textId="745D7CCF" w:rsidR="006A2D34" w:rsidRPr="0057293D" w:rsidRDefault="001D4E23"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6A2D34" w:rsidRPr="0099029A" w14:paraId="0CABA4B6"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6CFB9B8B" w14:textId="77777777" w:rsidR="006A2D34" w:rsidRPr="002A6138" w:rsidRDefault="006A2D34"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4Q Universal design</w:t>
            </w:r>
          </w:p>
        </w:tc>
        <w:tc>
          <w:tcPr>
            <w:tcW w:w="8505" w:type="dxa"/>
          </w:tcPr>
          <w:p w14:paraId="0B8B01D6" w14:textId="7A03AAC3" w:rsidR="006A2D34" w:rsidRPr="0057293D" w:rsidRDefault="001D4E23"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seniors housing development is designed and intended for ageing in place.</w:t>
            </w:r>
          </w:p>
        </w:tc>
        <w:tc>
          <w:tcPr>
            <w:tcW w:w="1587" w:type="dxa"/>
          </w:tcPr>
          <w:p w14:paraId="6ED2163A" w14:textId="79BAE7EF" w:rsidR="006A2D34" w:rsidRPr="0057293D" w:rsidRDefault="001D4E23"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1D4E23" w:rsidRPr="0099029A" w14:paraId="090822CC"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9B11988" w14:textId="77777777" w:rsidR="001D4E23" w:rsidRPr="002A6138" w:rsidRDefault="001D4E23"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4U Energy efficiency</w:t>
            </w:r>
          </w:p>
        </w:tc>
        <w:tc>
          <w:tcPr>
            <w:tcW w:w="8505" w:type="dxa"/>
          </w:tcPr>
          <w:p w14:paraId="6E01B9F8" w14:textId="77777777" w:rsidR="00D8103E"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The development is compliant with BASIX energy. </w:t>
            </w:r>
          </w:p>
          <w:p w14:paraId="18912E66" w14:textId="77777777" w:rsidR="00D8103E"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Solar panels are included in the design. </w:t>
            </w:r>
          </w:p>
          <w:p w14:paraId="0A2D50A0" w14:textId="54C8BC1C" w:rsidR="001D4E23" w:rsidRPr="0057293D"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Adequate lighting and ventilation </w:t>
            </w:r>
            <w:proofErr w:type="gramStart"/>
            <w:r>
              <w:rPr>
                <w:rFonts w:ascii="Arial" w:hAnsi="Arial" w:cs="Arial"/>
                <w:b w:val="0"/>
                <w:color w:val="auto"/>
                <w:sz w:val="22"/>
                <w:szCs w:val="22"/>
              </w:rPr>
              <w:t>is</w:t>
            </w:r>
            <w:proofErr w:type="gramEnd"/>
            <w:r>
              <w:rPr>
                <w:rFonts w:ascii="Arial" w:hAnsi="Arial" w:cs="Arial"/>
                <w:b w:val="0"/>
                <w:color w:val="auto"/>
                <w:sz w:val="22"/>
                <w:szCs w:val="22"/>
              </w:rPr>
              <w:t xml:space="preserve"> </w:t>
            </w:r>
            <w:r w:rsidR="00D8103E">
              <w:rPr>
                <w:rFonts w:ascii="Arial" w:hAnsi="Arial" w:cs="Arial"/>
                <w:b w:val="0"/>
                <w:color w:val="auto"/>
                <w:sz w:val="22"/>
                <w:szCs w:val="22"/>
              </w:rPr>
              <w:t>provided</w:t>
            </w:r>
            <w:r>
              <w:rPr>
                <w:rFonts w:ascii="Arial" w:hAnsi="Arial" w:cs="Arial"/>
                <w:b w:val="0"/>
                <w:color w:val="auto"/>
                <w:sz w:val="22"/>
                <w:szCs w:val="22"/>
              </w:rPr>
              <w:t>.</w:t>
            </w:r>
          </w:p>
        </w:tc>
        <w:tc>
          <w:tcPr>
            <w:tcW w:w="1587" w:type="dxa"/>
          </w:tcPr>
          <w:p w14:paraId="077AB1EA" w14:textId="0E90389A" w:rsidR="001D4E23" w:rsidRPr="0057293D" w:rsidRDefault="00DA3757"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1D4E23" w:rsidRPr="0099029A" w14:paraId="4795CF2C"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182B95D9" w14:textId="77777777" w:rsidR="001D4E23" w:rsidRPr="002A6138" w:rsidRDefault="001D4E23"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4V Water management and conservation</w:t>
            </w:r>
          </w:p>
        </w:tc>
        <w:tc>
          <w:tcPr>
            <w:tcW w:w="8505" w:type="dxa"/>
          </w:tcPr>
          <w:p w14:paraId="5B205FFA" w14:textId="21240760" w:rsidR="001D4E23" w:rsidRPr="0057293D" w:rsidRDefault="00DA3757"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Stormwater harvesting and reuse is included in the design.</w:t>
            </w:r>
          </w:p>
        </w:tc>
        <w:tc>
          <w:tcPr>
            <w:tcW w:w="1587" w:type="dxa"/>
          </w:tcPr>
          <w:p w14:paraId="040ED1DD" w14:textId="1E37F81C" w:rsidR="001D4E23" w:rsidRPr="0057293D" w:rsidRDefault="00DA3757"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p>
        </w:tc>
      </w:tr>
      <w:tr w:rsidR="001D4E23" w:rsidRPr="0099029A" w14:paraId="7ECDBEB4" w14:textId="77777777" w:rsidTr="000E71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59399430" w14:textId="77777777" w:rsidR="001D4E23" w:rsidRPr="002A6138" w:rsidRDefault="001D4E23"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4W Waste management</w:t>
            </w:r>
          </w:p>
        </w:tc>
        <w:tc>
          <w:tcPr>
            <w:tcW w:w="8505" w:type="dxa"/>
          </w:tcPr>
          <w:p w14:paraId="53E7BE52" w14:textId="77777777" w:rsidR="00A21848"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Waste is managed through waste chutes to bins stored in the basement. </w:t>
            </w:r>
          </w:p>
          <w:p w14:paraId="68EC5492" w14:textId="77777777" w:rsidR="00A21848"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 xml:space="preserve">A bin tug is used to transfer full bins to a secondary storage near the collection point on Glover Street. </w:t>
            </w:r>
          </w:p>
          <w:p w14:paraId="10F6E10A" w14:textId="571ED180" w:rsidR="001D4E23" w:rsidRPr="0057293D" w:rsidRDefault="00DA3757" w:rsidP="000E7169">
            <w:pPr>
              <w:pStyle w:val="FigureCaption"/>
              <w:spacing w:before="0" w:after="160"/>
              <w:ind w:left="0"/>
              <w:jc w:val="left"/>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lastRenderedPageBreak/>
              <w:t xml:space="preserve">General waste, recycling and green waste are all </w:t>
            </w:r>
            <w:r w:rsidR="00A21848">
              <w:rPr>
                <w:rFonts w:ascii="Arial" w:hAnsi="Arial" w:cs="Arial"/>
                <w:b w:val="0"/>
                <w:color w:val="auto"/>
                <w:sz w:val="22"/>
                <w:szCs w:val="22"/>
              </w:rPr>
              <w:t>catered for.</w:t>
            </w:r>
          </w:p>
        </w:tc>
        <w:tc>
          <w:tcPr>
            <w:tcW w:w="1587" w:type="dxa"/>
          </w:tcPr>
          <w:p w14:paraId="6A23E9D0" w14:textId="77B2B789" w:rsidR="001D4E23" w:rsidRPr="0057293D" w:rsidRDefault="00DA3757" w:rsidP="000E7169">
            <w:pPr>
              <w:pStyle w:val="FigureCaption"/>
              <w:spacing w:before="0" w:after="160"/>
              <w:ind w:left="0"/>
              <w:cnfStyle w:val="000000100000" w:firstRow="0" w:lastRow="0" w:firstColumn="0" w:lastColumn="0" w:oddVBand="0" w:evenVBand="0" w:oddHBand="1"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lastRenderedPageBreak/>
              <w:t>Y</w:t>
            </w:r>
          </w:p>
        </w:tc>
      </w:tr>
      <w:tr w:rsidR="001D4E23" w:rsidRPr="0099029A" w14:paraId="00B644AE" w14:textId="77777777" w:rsidTr="000E7169">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361A000B" w14:textId="77777777" w:rsidR="001D4E23" w:rsidRPr="002A6138" w:rsidRDefault="001D4E23" w:rsidP="000E7169">
            <w:pPr>
              <w:pStyle w:val="FigureCaption"/>
              <w:spacing w:before="0" w:after="160"/>
              <w:ind w:left="0"/>
              <w:jc w:val="left"/>
              <w:rPr>
                <w:rFonts w:ascii="Arial" w:hAnsi="Arial" w:cs="Arial"/>
                <w:color w:val="auto"/>
                <w:sz w:val="22"/>
                <w:szCs w:val="22"/>
              </w:rPr>
            </w:pPr>
            <w:r w:rsidRPr="002A6138">
              <w:rPr>
                <w:rFonts w:ascii="Arial" w:hAnsi="Arial" w:cs="Arial"/>
                <w:color w:val="auto"/>
                <w:sz w:val="22"/>
                <w:szCs w:val="22"/>
              </w:rPr>
              <w:t>4X Building maintenance</w:t>
            </w:r>
          </w:p>
        </w:tc>
        <w:tc>
          <w:tcPr>
            <w:tcW w:w="8505" w:type="dxa"/>
          </w:tcPr>
          <w:p w14:paraId="1E807B31" w14:textId="73B8DB10" w:rsidR="001D4E23" w:rsidRPr="0057293D" w:rsidRDefault="00DA3757" w:rsidP="000E7169">
            <w:pPr>
              <w:pStyle w:val="FigureCaption"/>
              <w:spacing w:before="0" w:after="160"/>
              <w:ind w:left="0"/>
              <w:jc w:val="left"/>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The site will be operated by a seniors housing provider</w:t>
            </w:r>
            <w:r w:rsidR="00720BB8">
              <w:rPr>
                <w:rFonts w:ascii="Arial" w:hAnsi="Arial" w:cs="Arial"/>
                <w:b w:val="0"/>
                <w:color w:val="auto"/>
                <w:sz w:val="22"/>
                <w:szCs w:val="22"/>
              </w:rPr>
              <w:t xml:space="preserve"> and maintained appropriately.</w:t>
            </w:r>
          </w:p>
        </w:tc>
        <w:tc>
          <w:tcPr>
            <w:tcW w:w="1587" w:type="dxa"/>
          </w:tcPr>
          <w:p w14:paraId="4202CE6F" w14:textId="15B8F1F2" w:rsidR="001D4E23" w:rsidRPr="0057293D" w:rsidRDefault="00720BB8" w:rsidP="000E7169">
            <w:pPr>
              <w:pStyle w:val="FigureCaption"/>
              <w:spacing w:before="0" w:after="160"/>
              <w:ind w:left="0"/>
              <w:cnfStyle w:val="000000000000" w:firstRow="0" w:lastRow="0" w:firstColumn="0" w:lastColumn="0" w:oddVBand="0" w:evenVBand="0" w:oddHBand="0" w:evenHBand="0" w:firstRowFirstColumn="0" w:firstRowLastColumn="0" w:lastRowFirstColumn="0" w:lastRowLastColumn="0"/>
              <w:rPr>
                <w:rFonts w:ascii="Arial" w:hAnsi="Arial" w:cs="Arial"/>
                <w:b w:val="0"/>
                <w:color w:val="auto"/>
                <w:sz w:val="22"/>
                <w:szCs w:val="22"/>
              </w:rPr>
            </w:pPr>
            <w:r>
              <w:rPr>
                <w:rFonts w:ascii="Arial" w:hAnsi="Arial" w:cs="Arial"/>
                <w:b w:val="0"/>
                <w:color w:val="auto"/>
                <w:sz w:val="22"/>
                <w:szCs w:val="22"/>
              </w:rPr>
              <w:t>Y</w:t>
            </w:r>
            <w:bookmarkStart w:id="1" w:name="_GoBack"/>
            <w:bookmarkEnd w:id="1"/>
          </w:p>
        </w:tc>
      </w:tr>
    </w:tbl>
    <w:p w14:paraId="5AB86AF3" w14:textId="71094549" w:rsidR="00D73BE8" w:rsidRPr="00E034AD" w:rsidRDefault="00D73BE8" w:rsidP="000E7169"/>
    <w:sectPr w:rsidR="00D73BE8" w:rsidRPr="00E034AD" w:rsidSect="006B206E">
      <w:footerReference w:type="default" r:id="rId7"/>
      <w:pgSz w:w="16838" w:h="11906" w:orient="landscape"/>
      <w:pgMar w:top="1701" w:right="1440" w:bottom="1440" w:left="1701" w:header="567" w:footer="567"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DD0BB" w14:textId="77777777" w:rsidR="00AB6E1B" w:rsidRDefault="00AB6E1B" w:rsidP="00493096">
      <w:pPr>
        <w:spacing w:after="0"/>
      </w:pPr>
      <w:r>
        <w:separator/>
      </w:r>
    </w:p>
  </w:endnote>
  <w:endnote w:type="continuationSeparator" w:id="0">
    <w:p w14:paraId="1CCCBF04" w14:textId="77777777" w:rsidR="00AB6E1B" w:rsidRDefault="00AB6E1B"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506798"/>
      <w:docPartObj>
        <w:docPartGallery w:val="Page Numbers (Bottom of Page)"/>
        <w:docPartUnique/>
      </w:docPartObj>
    </w:sdtPr>
    <w:sdtEndPr>
      <w:rPr>
        <w:noProof/>
      </w:rPr>
    </w:sdtEndPr>
    <w:sdtContent>
      <w:sdt>
        <w:sdtPr>
          <w:id w:val="1403416265"/>
          <w:docPartObj>
            <w:docPartGallery w:val="Page Numbers (Bottom of Page)"/>
            <w:docPartUnique/>
          </w:docPartObj>
        </w:sdtPr>
        <w:sdtEndPr>
          <w:rPr>
            <w:noProof/>
          </w:rPr>
        </w:sdtEndPr>
        <w:sdtContent>
          <w:p w14:paraId="45E6276F" w14:textId="68426C09" w:rsidR="00B25BAF" w:rsidRPr="00412BD4" w:rsidRDefault="00B25BAF" w:rsidP="00B25BAF">
            <w:pPr>
              <w:pStyle w:val="Footer"/>
              <w:rPr>
                <w:i w:val="0"/>
              </w:rPr>
            </w:pPr>
            <w:r w:rsidRPr="00412BD4">
              <w:t xml:space="preserve">Page | </w:t>
            </w:r>
            <w:r w:rsidRPr="00412BD4">
              <w:rPr>
                <w:i w:val="0"/>
              </w:rPr>
              <w:fldChar w:fldCharType="begin"/>
            </w:r>
            <w:r w:rsidRPr="00412BD4">
              <w:instrText xml:space="preserve"> PAGE   \* MERGEFORMAT </w:instrText>
            </w:r>
            <w:r w:rsidRPr="00412BD4">
              <w:rPr>
                <w:i w:val="0"/>
              </w:rPr>
              <w:fldChar w:fldCharType="separate"/>
            </w:r>
            <w:r>
              <w:rPr>
                <w:i w:val="0"/>
              </w:rPr>
              <w:t>1</w:t>
            </w:r>
            <w:r w:rsidRPr="00412BD4">
              <w:rPr>
                <w:i w:val="0"/>
                <w:noProof/>
              </w:rPr>
              <w:fldChar w:fldCharType="end"/>
            </w:r>
            <w:r w:rsidRPr="00412BD4">
              <w:rPr>
                <w:noProof/>
              </w:rPr>
              <w:tab/>
            </w:r>
            <w:r>
              <w:rPr>
                <w:noProof/>
              </w:rPr>
              <w:t xml:space="preserve">        </w:t>
            </w:r>
            <w:r>
              <w:rPr>
                <w:noProof/>
              </w:rPr>
              <w:tab/>
            </w:r>
            <w:r>
              <w:rPr>
                <w:noProof/>
              </w:rPr>
              <w:t xml:space="preserve"> </w:t>
            </w:r>
            <w:r>
              <w:rPr>
                <w:rFonts w:ascii="Arial" w:hAnsi="Arial" w:cs="Arial"/>
                <w:sz w:val="20"/>
                <w:szCs w:val="20"/>
              </w:rPr>
              <w:t>Attachment B</w:t>
            </w:r>
            <w:r w:rsidRPr="00412BD4">
              <w:rPr>
                <w:rFonts w:ascii="Arial" w:hAnsi="Arial" w:cs="Arial"/>
                <w:sz w:val="20"/>
                <w:szCs w:val="20"/>
              </w:rPr>
              <w:t xml:space="preserve">: </w:t>
            </w:r>
            <w:r>
              <w:rPr>
                <w:rFonts w:ascii="Arial" w:hAnsi="Arial" w:cs="Arial"/>
                <w:sz w:val="20"/>
                <w:szCs w:val="20"/>
              </w:rPr>
              <w:t xml:space="preserve">ADG compliance - </w:t>
            </w:r>
            <w:r w:rsidRPr="00412BD4">
              <w:rPr>
                <w:rFonts w:ascii="Arial" w:hAnsi="Arial" w:cs="Arial"/>
                <w:sz w:val="20"/>
                <w:szCs w:val="20"/>
              </w:rPr>
              <w:t xml:space="preserve">DA/2294/2021 – 2A Maude Street, Belmont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12BD4">
              <w:rPr>
                <w:rFonts w:ascii="Arial" w:hAnsi="Arial" w:cs="Arial"/>
                <w:sz w:val="20"/>
                <w:szCs w:val="20"/>
              </w:rPr>
              <w:t>Date: 27 April 2022</w:t>
            </w:r>
            <w:r w:rsidRPr="00412BD4">
              <w:rPr>
                <w:rFonts w:ascii="Arial" w:hAnsi="Arial" w:cs="Arial"/>
                <w:sz w:val="20"/>
                <w:szCs w:val="20"/>
              </w:rPr>
              <w:tab/>
            </w:r>
          </w:p>
          <w:p w14:paraId="2983AF2F" w14:textId="77777777" w:rsidR="00B25BAF" w:rsidRDefault="00B25BAF" w:rsidP="00B25BAF">
            <w:pPr>
              <w:pStyle w:val="Footer"/>
              <w:tabs>
                <w:tab w:val="center" w:pos="4513"/>
                <w:tab w:val="right" w:pos="9026"/>
              </w:tabs>
              <w:spacing w:after="0" w:line="240" w:lineRule="auto"/>
              <w:rPr>
                <w:noProof/>
              </w:rPr>
            </w:pPr>
          </w:p>
        </w:sdtContent>
      </w:sdt>
      <w:p w14:paraId="4A19D2E1" w14:textId="78DFAF93" w:rsidR="00C7215E" w:rsidRDefault="00C7215E" w:rsidP="00B25BAF">
        <w:pPr>
          <w:pStyle w:val="Footer"/>
          <w:jc w:val="right"/>
        </w:pPr>
      </w:p>
    </w:sdtContent>
  </w:sdt>
  <w:p w14:paraId="42B0B856" w14:textId="77777777" w:rsidR="00C7215E" w:rsidRDefault="00C72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FFEF" w14:textId="77777777" w:rsidR="00AB6E1B" w:rsidRDefault="00AB6E1B" w:rsidP="00493096">
      <w:pPr>
        <w:spacing w:after="0"/>
      </w:pPr>
      <w:r>
        <w:separator/>
      </w:r>
    </w:p>
  </w:footnote>
  <w:footnote w:type="continuationSeparator" w:id="0">
    <w:p w14:paraId="31C6C3EA" w14:textId="77777777" w:rsidR="00AB6E1B" w:rsidRDefault="00AB6E1B"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477F1868"/>
    <w:multiLevelType w:val="hybridMultilevel"/>
    <w:tmpl w:val="FF1C6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4"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5F2B2F35"/>
    <w:multiLevelType w:val="hybridMultilevel"/>
    <w:tmpl w:val="975AE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B21A56"/>
    <w:multiLevelType w:val="hybridMultilevel"/>
    <w:tmpl w:val="00A4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0E3CE9"/>
    <w:multiLevelType w:val="hybridMultilevel"/>
    <w:tmpl w:val="9108562C"/>
    <w:lvl w:ilvl="0" w:tplc="25D0E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5"/>
  </w:num>
  <w:num w:numId="7">
    <w:abstractNumId w:val="4"/>
  </w:num>
  <w:num w:numId="8">
    <w:abstractNumId w:val="2"/>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0"/>
  </w:num>
  <w:num w:numId="22">
    <w:abstractNumId w:val="5"/>
  </w:num>
  <w:num w:numId="23">
    <w:abstractNumId w:val="4"/>
  </w:num>
  <w:num w:numId="24">
    <w:abstractNumId w:val="2"/>
  </w:num>
  <w:num w:numId="25">
    <w:abstractNumId w:val="3"/>
  </w:num>
  <w:num w:numId="26">
    <w:abstractNumId w:val="3"/>
  </w:num>
  <w:num w:numId="27">
    <w:abstractNumId w:val="3"/>
  </w:num>
  <w:num w:numId="28">
    <w:abstractNumId w:val="3"/>
  </w:num>
  <w:num w:numId="29">
    <w:abstractNumId w:val="0"/>
  </w:num>
  <w:num w:numId="30">
    <w:abstractNumId w:val="5"/>
  </w:num>
  <w:num w:numId="31">
    <w:abstractNumId w:val="4"/>
  </w:num>
  <w:num w:numId="32">
    <w:abstractNumId w:val="2"/>
  </w:num>
  <w:num w:numId="33">
    <w:abstractNumId w:val="6"/>
  </w:num>
  <w:num w:numId="34">
    <w:abstractNumId w:val="8"/>
  </w:num>
  <w:num w:numId="35">
    <w:abstractNumId w:val="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WithLetterhead" w:val="True"/>
  </w:docVars>
  <w:rsids>
    <w:rsidRoot w:val="00E034AD"/>
    <w:rsid w:val="00042236"/>
    <w:rsid w:val="00057070"/>
    <w:rsid w:val="00057F1D"/>
    <w:rsid w:val="00065605"/>
    <w:rsid w:val="000D08A5"/>
    <w:rsid w:val="000D1CE9"/>
    <w:rsid w:val="000D7183"/>
    <w:rsid w:val="000E045F"/>
    <w:rsid w:val="000E0F23"/>
    <w:rsid w:val="000E477E"/>
    <w:rsid w:val="000E61BF"/>
    <w:rsid w:val="000E7169"/>
    <w:rsid w:val="000F4CC6"/>
    <w:rsid w:val="00102DC4"/>
    <w:rsid w:val="00112123"/>
    <w:rsid w:val="001230B3"/>
    <w:rsid w:val="00132236"/>
    <w:rsid w:val="001333E6"/>
    <w:rsid w:val="0015675E"/>
    <w:rsid w:val="0016189F"/>
    <w:rsid w:val="00167169"/>
    <w:rsid w:val="00175B9E"/>
    <w:rsid w:val="001A16D5"/>
    <w:rsid w:val="001C28AD"/>
    <w:rsid w:val="001C343F"/>
    <w:rsid w:val="001C5115"/>
    <w:rsid w:val="001D4E23"/>
    <w:rsid w:val="00215A6F"/>
    <w:rsid w:val="002331EE"/>
    <w:rsid w:val="00241430"/>
    <w:rsid w:val="00245175"/>
    <w:rsid w:val="00255BA4"/>
    <w:rsid w:val="00264C91"/>
    <w:rsid w:val="0027503E"/>
    <w:rsid w:val="00283283"/>
    <w:rsid w:val="002A6138"/>
    <w:rsid w:val="002D3371"/>
    <w:rsid w:val="002D40BC"/>
    <w:rsid w:val="002F3DA1"/>
    <w:rsid w:val="002F55EA"/>
    <w:rsid w:val="002F72F0"/>
    <w:rsid w:val="00312E01"/>
    <w:rsid w:val="003409A9"/>
    <w:rsid w:val="003731A5"/>
    <w:rsid w:val="00376B2C"/>
    <w:rsid w:val="00380E6D"/>
    <w:rsid w:val="00385918"/>
    <w:rsid w:val="003A16F2"/>
    <w:rsid w:val="003A5502"/>
    <w:rsid w:val="003A648E"/>
    <w:rsid w:val="003C7115"/>
    <w:rsid w:val="003D3290"/>
    <w:rsid w:val="003F1F9B"/>
    <w:rsid w:val="004121B8"/>
    <w:rsid w:val="00416663"/>
    <w:rsid w:val="0047093E"/>
    <w:rsid w:val="00471CEA"/>
    <w:rsid w:val="0047210F"/>
    <w:rsid w:val="00483878"/>
    <w:rsid w:val="00491184"/>
    <w:rsid w:val="00493096"/>
    <w:rsid w:val="00493E71"/>
    <w:rsid w:val="004947B1"/>
    <w:rsid w:val="004B407E"/>
    <w:rsid w:val="004C095E"/>
    <w:rsid w:val="004C4688"/>
    <w:rsid w:val="00501604"/>
    <w:rsid w:val="005059B2"/>
    <w:rsid w:val="005152BA"/>
    <w:rsid w:val="00566FB6"/>
    <w:rsid w:val="00572921"/>
    <w:rsid w:val="005775FA"/>
    <w:rsid w:val="00587F92"/>
    <w:rsid w:val="005A0F69"/>
    <w:rsid w:val="005B308A"/>
    <w:rsid w:val="005C5DDE"/>
    <w:rsid w:val="006004DA"/>
    <w:rsid w:val="00612B19"/>
    <w:rsid w:val="00612B48"/>
    <w:rsid w:val="006518FF"/>
    <w:rsid w:val="00687208"/>
    <w:rsid w:val="006968C1"/>
    <w:rsid w:val="006A2D34"/>
    <w:rsid w:val="006B16EF"/>
    <w:rsid w:val="006B206E"/>
    <w:rsid w:val="006D7440"/>
    <w:rsid w:val="006E5492"/>
    <w:rsid w:val="006E6B61"/>
    <w:rsid w:val="00702401"/>
    <w:rsid w:val="00720BB8"/>
    <w:rsid w:val="007226D1"/>
    <w:rsid w:val="00726C2C"/>
    <w:rsid w:val="00753C69"/>
    <w:rsid w:val="00782256"/>
    <w:rsid w:val="007940E5"/>
    <w:rsid w:val="007B6EED"/>
    <w:rsid w:val="007D1926"/>
    <w:rsid w:val="007D3D38"/>
    <w:rsid w:val="007E5C31"/>
    <w:rsid w:val="007E7F47"/>
    <w:rsid w:val="00884891"/>
    <w:rsid w:val="008A48FD"/>
    <w:rsid w:val="008B2044"/>
    <w:rsid w:val="008B452C"/>
    <w:rsid w:val="008B5891"/>
    <w:rsid w:val="008F7C2A"/>
    <w:rsid w:val="009004F9"/>
    <w:rsid w:val="009047F6"/>
    <w:rsid w:val="00987B30"/>
    <w:rsid w:val="009A6F2C"/>
    <w:rsid w:val="009C3D13"/>
    <w:rsid w:val="009D1CCD"/>
    <w:rsid w:val="009E557E"/>
    <w:rsid w:val="009F7C3A"/>
    <w:rsid w:val="00A21848"/>
    <w:rsid w:val="00A270C3"/>
    <w:rsid w:val="00A50DB0"/>
    <w:rsid w:val="00A64771"/>
    <w:rsid w:val="00A650A1"/>
    <w:rsid w:val="00A719AF"/>
    <w:rsid w:val="00A87295"/>
    <w:rsid w:val="00A91429"/>
    <w:rsid w:val="00A96FF7"/>
    <w:rsid w:val="00AA2C18"/>
    <w:rsid w:val="00AA393B"/>
    <w:rsid w:val="00AB36DB"/>
    <w:rsid w:val="00AB6E1B"/>
    <w:rsid w:val="00B049E4"/>
    <w:rsid w:val="00B112DD"/>
    <w:rsid w:val="00B25BAF"/>
    <w:rsid w:val="00B34819"/>
    <w:rsid w:val="00B47BF5"/>
    <w:rsid w:val="00B52EFC"/>
    <w:rsid w:val="00B649AF"/>
    <w:rsid w:val="00B679FE"/>
    <w:rsid w:val="00B7207F"/>
    <w:rsid w:val="00B82A1C"/>
    <w:rsid w:val="00BA49E2"/>
    <w:rsid w:val="00BB2D9A"/>
    <w:rsid w:val="00BE0BE8"/>
    <w:rsid w:val="00BF0475"/>
    <w:rsid w:val="00BF2FF5"/>
    <w:rsid w:val="00BF3AC1"/>
    <w:rsid w:val="00C11F69"/>
    <w:rsid w:val="00C14974"/>
    <w:rsid w:val="00C20221"/>
    <w:rsid w:val="00C51B5E"/>
    <w:rsid w:val="00C52980"/>
    <w:rsid w:val="00C56868"/>
    <w:rsid w:val="00C63A2F"/>
    <w:rsid w:val="00C674DB"/>
    <w:rsid w:val="00C7215E"/>
    <w:rsid w:val="00C94387"/>
    <w:rsid w:val="00CA0B46"/>
    <w:rsid w:val="00CA4064"/>
    <w:rsid w:val="00CA6E7B"/>
    <w:rsid w:val="00CF4F24"/>
    <w:rsid w:val="00D40483"/>
    <w:rsid w:val="00D507C0"/>
    <w:rsid w:val="00D60853"/>
    <w:rsid w:val="00D63D6A"/>
    <w:rsid w:val="00D73BE8"/>
    <w:rsid w:val="00D8103E"/>
    <w:rsid w:val="00D92B16"/>
    <w:rsid w:val="00DA3757"/>
    <w:rsid w:val="00DC04F3"/>
    <w:rsid w:val="00DD3B7A"/>
    <w:rsid w:val="00E034AD"/>
    <w:rsid w:val="00E219DB"/>
    <w:rsid w:val="00E43F12"/>
    <w:rsid w:val="00E50373"/>
    <w:rsid w:val="00E557A5"/>
    <w:rsid w:val="00E710A9"/>
    <w:rsid w:val="00E820D7"/>
    <w:rsid w:val="00E860DF"/>
    <w:rsid w:val="00E865BF"/>
    <w:rsid w:val="00E9250E"/>
    <w:rsid w:val="00ED4025"/>
    <w:rsid w:val="00F130D5"/>
    <w:rsid w:val="00F13E1C"/>
    <w:rsid w:val="00F5141C"/>
    <w:rsid w:val="00F80E44"/>
    <w:rsid w:val="00F95692"/>
    <w:rsid w:val="00FA432E"/>
    <w:rsid w:val="00FC0427"/>
    <w:rsid w:val="00FC0826"/>
    <w:rsid w:val="00FC4A85"/>
    <w:rsid w:val="00FE6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BD531"/>
  <w14:discardImageEditingData/>
  <w15:chartTrackingRefBased/>
  <w15:docId w15:val="{AE4E947F-DE4C-4EC6-BF3F-94E4F269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34AD"/>
    <w:pPr>
      <w:spacing w:after="160" w:line="259" w:lineRule="auto"/>
      <w:ind w:left="0" w:firstLine="0"/>
    </w:pPr>
    <w:rPr>
      <w:rFonts w:asciiTheme="minorHAnsi" w:eastAsiaTheme="minorHAnsi" w:hAnsiTheme="minorHAnsi" w:cstheme="minorBidi"/>
      <w:lang w:eastAsia="en-US"/>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uiPriority w:val="99"/>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28"/>
      </w:numPr>
      <w:spacing w:before="120" w:after="240"/>
    </w:pPr>
  </w:style>
  <w:style w:type="paragraph" w:customStyle="1" w:styleId="NoHeading2">
    <w:name w:val="No Heading 2"/>
    <w:basedOn w:val="Heading2"/>
    <w:next w:val="Normal"/>
    <w:qFormat/>
    <w:rsid w:val="00DD3B7A"/>
    <w:pPr>
      <w:numPr>
        <w:ilvl w:val="1"/>
        <w:numId w:val="28"/>
      </w:numPr>
    </w:pPr>
    <w:rPr>
      <w:szCs w:val="20"/>
    </w:rPr>
  </w:style>
  <w:style w:type="paragraph" w:customStyle="1" w:styleId="NoHeading3">
    <w:name w:val="No Heading 3"/>
    <w:basedOn w:val="Heading3"/>
    <w:next w:val="Normal"/>
    <w:qFormat/>
    <w:rsid w:val="00DD3B7A"/>
    <w:pPr>
      <w:numPr>
        <w:ilvl w:val="2"/>
        <w:numId w:val="28"/>
      </w:numPr>
    </w:pPr>
  </w:style>
  <w:style w:type="paragraph" w:customStyle="1" w:styleId="NoHeading4">
    <w:name w:val="No Heading 4"/>
    <w:basedOn w:val="Heading4"/>
    <w:next w:val="Normal"/>
    <w:qFormat/>
    <w:rsid w:val="00DD3B7A"/>
    <w:pPr>
      <w:numPr>
        <w:ilvl w:val="3"/>
        <w:numId w:val="28"/>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9"/>
      </w:numPr>
    </w:pPr>
    <w:rPr>
      <w:rFonts w:ascii="Arial Bold" w:hAnsi="Arial Bold"/>
      <w:b/>
    </w:rPr>
  </w:style>
  <w:style w:type="paragraph" w:customStyle="1" w:styleId="PathwayCondNo">
    <w:name w:val="PathwayCondNo"/>
    <w:basedOn w:val="Normal"/>
    <w:next w:val="Normal"/>
    <w:rsid w:val="00DD3B7A"/>
    <w:pPr>
      <w:numPr>
        <w:numId w:val="30"/>
      </w:numPr>
    </w:pPr>
    <w:rPr>
      <w:rFonts w:cs="Arial"/>
      <w:b/>
    </w:rPr>
  </w:style>
  <w:style w:type="paragraph" w:customStyle="1" w:styleId="PathwayCondNo1">
    <w:name w:val="PathwayCondNo1"/>
    <w:basedOn w:val="PathwayCondNo"/>
    <w:next w:val="Normal"/>
    <w:rsid w:val="00DD3B7A"/>
    <w:pPr>
      <w:numPr>
        <w:numId w:val="31"/>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32"/>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link w:val="ListParagraphChar"/>
    <w:uiPriority w:val="34"/>
    <w:qFormat/>
    <w:rsid w:val="004C4688"/>
    <w:pPr>
      <w:spacing w:after="60"/>
      <w:ind w:left="851" w:hanging="284"/>
      <w:contextualSpacing/>
    </w:pPr>
  </w:style>
  <w:style w:type="character" w:customStyle="1" w:styleId="FooterChar">
    <w:name w:val="Footer Char"/>
    <w:basedOn w:val="DefaultParagraphFont"/>
    <w:link w:val="Footer"/>
    <w:uiPriority w:val="99"/>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rPr>
  </w:style>
  <w:style w:type="paragraph" w:customStyle="1" w:styleId="FooterEl8">
    <w:name w:val="FooterEl8"/>
    <w:basedOn w:val="Normal"/>
    <w:rsid w:val="008B2044"/>
    <w:pPr>
      <w:spacing w:before="20" w:after="0"/>
    </w:pPr>
    <w:rPr>
      <w:sz w:val="18"/>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character" w:customStyle="1" w:styleId="ListParagraphChar">
    <w:name w:val="List Paragraph Char"/>
    <w:link w:val="ListParagraph"/>
    <w:uiPriority w:val="34"/>
    <w:locked/>
    <w:rsid w:val="00E034AD"/>
    <w:rPr>
      <w:szCs w:val="24"/>
    </w:rPr>
  </w:style>
  <w:style w:type="paragraph" w:customStyle="1" w:styleId="FigureCaption">
    <w:name w:val="Figure_Caption"/>
    <w:basedOn w:val="Caption"/>
    <w:link w:val="FigureCaptionChar"/>
    <w:qFormat/>
    <w:rsid w:val="00F5141C"/>
    <w:pPr>
      <w:spacing w:before="280"/>
      <w:ind w:left="680"/>
      <w:jc w:val="center"/>
    </w:pPr>
    <w:rPr>
      <w:rFonts w:eastAsiaTheme="minorEastAsia"/>
      <w:b/>
      <w:i w:val="0"/>
      <w:sz w:val="20"/>
      <w:lang w:val="en-GB" w:eastAsia="zh-CN"/>
    </w:rPr>
  </w:style>
  <w:style w:type="character" w:customStyle="1" w:styleId="FigureCaptionChar">
    <w:name w:val="Figure_Caption Char"/>
    <w:basedOn w:val="DefaultParagraphFont"/>
    <w:link w:val="FigureCaption"/>
    <w:rsid w:val="00F5141C"/>
    <w:rPr>
      <w:rFonts w:asciiTheme="minorHAnsi" w:eastAsiaTheme="minorEastAsia" w:hAnsiTheme="minorHAnsi" w:cstheme="minorBidi"/>
      <w:b/>
      <w:iCs/>
      <w:color w:val="1F497D" w:themeColor="text2"/>
      <w:sz w:val="20"/>
      <w:szCs w:val="18"/>
      <w:lang w:val="en-GB" w:eastAsia="zh-CN"/>
    </w:rPr>
  </w:style>
  <w:style w:type="character" w:styleId="CommentReference">
    <w:name w:val="annotation reference"/>
    <w:basedOn w:val="DefaultParagraphFont"/>
    <w:uiPriority w:val="99"/>
    <w:semiHidden/>
    <w:unhideWhenUsed/>
    <w:rsid w:val="00F5141C"/>
    <w:rPr>
      <w:sz w:val="16"/>
      <w:szCs w:val="16"/>
    </w:rPr>
  </w:style>
  <w:style w:type="paragraph" w:styleId="CommentText">
    <w:name w:val="annotation text"/>
    <w:basedOn w:val="Normal"/>
    <w:link w:val="CommentTextChar"/>
    <w:uiPriority w:val="99"/>
    <w:unhideWhenUsed/>
    <w:rsid w:val="00F5141C"/>
    <w:pPr>
      <w:spacing w:line="240" w:lineRule="auto"/>
    </w:pPr>
    <w:rPr>
      <w:sz w:val="20"/>
      <w:szCs w:val="20"/>
    </w:rPr>
  </w:style>
  <w:style w:type="character" w:customStyle="1" w:styleId="CommentTextChar">
    <w:name w:val="Comment Text Char"/>
    <w:basedOn w:val="DefaultParagraphFont"/>
    <w:link w:val="CommentText"/>
    <w:uiPriority w:val="99"/>
    <w:rsid w:val="00F5141C"/>
    <w:rPr>
      <w:rFonts w:asciiTheme="minorHAnsi" w:eastAsiaTheme="minorHAnsi" w:hAnsiTheme="minorHAnsi" w:cstheme="minorBidi"/>
      <w:sz w:val="20"/>
      <w:szCs w:val="20"/>
      <w:lang w:eastAsia="en-US"/>
    </w:rPr>
  </w:style>
  <w:style w:type="paragraph" w:styleId="Caption">
    <w:name w:val="caption"/>
    <w:basedOn w:val="Normal"/>
    <w:next w:val="Normal"/>
    <w:semiHidden/>
    <w:unhideWhenUsed/>
    <w:qFormat/>
    <w:rsid w:val="00F5141C"/>
    <w:pPr>
      <w:spacing w:after="200" w:line="240" w:lineRule="auto"/>
    </w:pPr>
    <w:rPr>
      <w:i/>
      <w:iCs/>
      <w:color w:val="1F497D" w:themeColor="text2"/>
      <w:sz w:val="18"/>
      <w:szCs w:val="18"/>
    </w:rPr>
  </w:style>
  <w:style w:type="paragraph" w:styleId="BalloonText">
    <w:name w:val="Balloon Text"/>
    <w:basedOn w:val="Normal"/>
    <w:link w:val="BalloonTextChar"/>
    <w:rsid w:val="00F51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5141C"/>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6</Pages>
  <Words>1241</Words>
  <Characters>6454</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Keech</dc:creator>
  <cp:keywords/>
  <dc:description/>
  <cp:lastModifiedBy>Amy Regado</cp:lastModifiedBy>
  <cp:revision>19</cp:revision>
  <cp:lastPrinted>2020-01-17T05:21:00Z</cp:lastPrinted>
  <dcterms:created xsi:type="dcterms:W3CDTF">2022-04-27T01:35:00Z</dcterms:created>
  <dcterms:modified xsi:type="dcterms:W3CDTF">2022-04-30T02:45:00Z</dcterms:modified>
</cp:coreProperties>
</file>